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E1A6" w14:textId="12F81B45" w:rsidR="00C3372B" w:rsidRPr="000A0543" w:rsidRDefault="00C3372B" w:rsidP="00C3372B">
      <w:pPr>
        <w:pStyle w:val="Heading1"/>
        <w:rPr>
          <w:rFonts w:ascii="Century Gothic" w:hAnsi="Century Gothic"/>
        </w:rPr>
      </w:pPr>
      <w:bookmarkStart w:id="0" w:name="_Toc99907058"/>
      <w:bookmarkStart w:id="1" w:name="_Toc133763620"/>
      <w:r w:rsidRPr="000A0543">
        <w:rPr>
          <w:rFonts w:ascii="Century Gothic" w:hAnsi="Century Gothic"/>
        </w:rPr>
        <w:t>PP29 Participant Finances &amp; Property</w:t>
      </w:r>
      <w:bookmarkEnd w:id="0"/>
      <w:bookmarkEnd w:id="1"/>
      <w:r w:rsidRPr="000A0543">
        <w:rPr>
          <w:rFonts w:ascii="Century Gothic" w:hAnsi="Century Gothic"/>
        </w:rPr>
        <w:t xml:space="preserve"> Policy</w:t>
      </w:r>
    </w:p>
    <w:p w14:paraId="78146888" w14:textId="77777777" w:rsidR="00C3372B" w:rsidRPr="000A0543" w:rsidRDefault="00C3372B" w:rsidP="00C3372B">
      <w:pPr>
        <w:pStyle w:val="Heading2"/>
        <w:rPr>
          <w:rFonts w:ascii="Century Gothic" w:hAnsi="Century Gothic"/>
          <w:sz w:val="18"/>
          <w:szCs w:val="18"/>
          <w:lang w:eastAsia="en-GB"/>
        </w:rPr>
      </w:pPr>
      <w:r w:rsidRPr="000A0543">
        <w:rPr>
          <w:rFonts w:ascii="Century Gothic" w:hAnsi="Century Gothic"/>
          <w:lang w:eastAsia="en-GB"/>
        </w:rPr>
        <w:t>POLICY STATEMENT </w:t>
      </w:r>
    </w:p>
    <w:p w14:paraId="41FB1155" w14:textId="77777777" w:rsidR="00C3372B" w:rsidRPr="000A0543" w:rsidRDefault="00C3372B" w:rsidP="00C3372B">
      <w:pPr>
        <w:pStyle w:val="paragraph"/>
        <w:rPr>
          <w:rFonts w:ascii="Century Gothic" w:hAnsi="Century Gothic"/>
        </w:rPr>
      </w:pPr>
      <w:r w:rsidRPr="000A0543">
        <w:rPr>
          <w:rFonts w:ascii="Century Gothic" w:hAnsi="Century Gothic"/>
        </w:rPr>
        <w:t xml:space="preserve">We will support participants to manage their personal finances, where possible, or to have financial management support from the least restrictive source. </w:t>
      </w:r>
    </w:p>
    <w:p w14:paraId="57D4C152" w14:textId="77777777" w:rsidR="00C3372B" w:rsidRPr="000A0543" w:rsidRDefault="00C3372B" w:rsidP="00C3372B">
      <w:pPr>
        <w:pStyle w:val="paragraph"/>
        <w:rPr>
          <w:rFonts w:ascii="Century Gothic" w:hAnsi="Century Gothic"/>
          <w:lang w:eastAsia="en-GB"/>
        </w:rPr>
      </w:pPr>
      <w:r w:rsidRPr="000A0543">
        <w:rPr>
          <w:rFonts w:ascii="Century Gothic" w:hAnsi="Century Gothic"/>
          <w:lang w:eastAsia="en-GB"/>
        </w:rPr>
        <w:t>Participants’ money or other property is only used by us with the consent of the participant and for the purposes intended by the participant. When required, each participant will be supported to access and spend their own money as they determine.</w:t>
      </w:r>
    </w:p>
    <w:p w14:paraId="18093FA8" w14:textId="77777777" w:rsidR="00C3372B" w:rsidRPr="000A0543" w:rsidRDefault="00C3372B" w:rsidP="00C3372B">
      <w:pPr>
        <w:pStyle w:val="paragraph"/>
        <w:rPr>
          <w:rFonts w:ascii="Century Gothic" w:hAnsi="Century Gothic"/>
          <w:lang w:eastAsia="en-GB"/>
        </w:rPr>
      </w:pPr>
      <w:r w:rsidRPr="000A0543">
        <w:rPr>
          <w:rFonts w:ascii="Century Gothic" w:hAnsi="Century Gothic"/>
          <w:lang w:eastAsia="en-GB"/>
        </w:rPr>
        <w:t>Staff take their responsibility when handling or storing participant funds seriously and all transactions are transparent and accountable. </w:t>
      </w:r>
    </w:p>
    <w:p w14:paraId="35DBD3D8" w14:textId="77777777" w:rsidR="00C3372B" w:rsidRPr="000A0543" w:rsidRDefault="00C3372B" w:rsidP="00C3372B">
      <w:pPr>
        <w:pStyle w:val="paragraph"/>
        <w:rPr>
          <w:rFonts w:ascii="Century Gothic" w:hAnsi="Century Gothic"/>
        </w:rPr>
      </w:pPr>
      <w:r w:rsidRPr="000A0543">
        <w:rPr>
          <w:rFonts w:ascii="Century Gothic" w:hAnsi="Century Gothic"/>
        </w:rPr>
        <w:t xml:space="preserve">We recognise that there is a balance between </w:t>
      </w:r>
      <w:proofErr w:type="gramStart"/>
      <w:r w:rsidRPr="000A0543">
        <w:rPr>
          <w:rFonts w:ascii="Century Gothic" w:hAnsi="Century Gothic"/>
        </w:rPr>
        <w:t>providing assistance to</w:t>
      </w:r>
      <w:proofErr w:type="gramEnd"/>
      <w:r w:rsidRPr="000A0543">
        <w:rPr>
          <w:rFonts w:ascii="Century Gothic" w:hAnsi="Century Gothic"/>
        </w:rPr>
        <w:t xml:space="preserve"> the participant to manage their own financial affairs as much as possible and protecting the rights of the participant who may be extremely vulnerable to exploitation.</w:t>
      </w:r>
    </w:p>
    <w:p w14:paraId="4D5AC7B4" w14:textId="77777777" w:rsidR="00C3372B" w:rsidRPr="000A0543" w:rsidRDefault="00C3372B" w:rsidP="00C3372B">
      <w:pPr>
        <w:pStyle w:val="paragraph"/>
        <w:rPr>
          <w:rFonts w:ascii="Century Gothic" w:hAnsi="Century Gothic"/>
          <w:sz w:val="18"/>
          <w:szCs w:val="18"/>
          <w:lang w:eastAsia="en-GB"/>
        </w:rPr>
      </w:pPr>
      <w:r w:rsidRPr="000A0543">
        <w:rPr>
          <w:rFonts w:ascii="Century Gothic" w:hAnsi="Century Gothic"/>
          <w:lang w:eastAsia="en-GB"/>
        </w:rPr>
        <w:t>We will not provide any sort of financial management advice to participants. </w:t>
      </w:r>
    </w:p>
    <w:p w14:paraId="2EAC341C" w14:textId="77777777" w:rsidR="00C3372B" w:rsidRPr="000A0543" w:rsidRDefault="00C3372B" w:rsidP="00C3372B">
      <w:pPr>
        <w:pStyle w:val="Heading2"/>
        <w:rPr>
          <w:rFonts w:ascii="Century Gothic" w:hAnsi="Century Gothic"/>
          <w:lang w:eastAsia="en-GB"/>
        </w:rPr>
      </w:pPr>
      <w:r w:rsidRPr="000A0543">
        <w:rPr>
          <w:rFonts w:ascii="Century Gothic" w:hAnsi="Century Gothic"/>
          <w:lang w:eastAsia="en-GB"/>
        </w:rPr>
        <w:t>SCOPE</w:t>
      </w:r>
    </w:p>
    <w:p w14:paraId="1F57E958" w14:textId="77777777" w:rsidR="00C3372B" w:rsidRPr="000A0543" w:rsidRDefault="00C3372B" w:rsidP="00C3372B">
      <w:pPr>
        <w:pStyle w:val="paragraph"/>
        <w:rPr>
          <w:rFonts w:ascii="Century Gothic" w:hAnsi="Century Gothic"/>
          <w:lang w:eastAsia="en-GB"/>
        </w:rPr>
      </w:pPr>
      <w:r w:rsidRPr="000A0543">
        <w:rPr>
          <w:rFonts w:ascii="Century Gothic" w:hAnsi="Century Gothic"/>
          <w:lang w:eastAsia="en-GB"/>
        </w:rPr>
        <w:t>This policy applies to all employees, contractors, students, and volunteers working across all our sites and locations.</w:t>
      </w:r>
    </w:p>
    <w:p w14:paraId="0A9FA046" w14:textId="77777777" w:rsidR="00C3372B" w:rsidRPr="000A0543" w:rsidRDefault="00C3372B" w:rsidP="00C3372B">
      <w:pPr>
        <w:pStyle w:val="Heading2"/>
        <w:rPr>
          <w:rFonts w:ascii="Century Gothic" w:hAnsi="Century Gothic"/>
          <w:sz w:val="18"/>
          <w:szCs w:val="18"/>
          <w:lang w:eastAsia="en-GB"/>
        </w:rPr>
      </w:pPr>
      <w:r w:rsidRPr="000A0543">
        <w:rPr>
          <w:rFonts w:ascii="Century Gothic" w:hAnsi="Century Gothic"/>
          <w:lang w:eastAsia="en-GB"/>
        </w:rPr>
        <w:t>CAPACITY AND AUTHORITY </w:t>
      </w:r>
    </w:p>
    <w:p w14:paraId="28D465F6" w14:textId="77777777" w:rsidR="00C3372B" w:rsidRPr="000A0543" w:rsidRDefault="00C3372B" w:rsidP="00C3372B">
      <w:pPr>
        <w:pStyle w:val="paragraph"/>
        <w:rPr>
          <w:rFonts w:ascii="Century Gothic" w:hAnsi="Century Gothic"/>
          <w:lang w:eastAsia="en-GB"/>
        </w:rPr>
      </w:pPr>
      <w:r w:rsidRPr="000A0543">
        <w:rPr>
          <w:rFonts w:ascii="Century Gothic" w:hAnsi="Century Gothic"/>
          <w:lang w:eastAsia="en-GB"/>
        </w:rPr>
        <w:t>When determining if a participant will manage their own personal finances, their capacity to manage money needs to be determined. Refer to the relevant state or territory Office of the Public Advocate or Public Guardian for more information.</w:t>
      </w:r>
    </w:p>
    <w:p w14:paraId="7758619C" w14:textId="77777777" w:rsidR="00C3372B" w:rsidRPr="000A0543" w:rsidRDefault="00C3372B" w:rsidP="00C3372B">
      <w:pPr>
        <w:pStyle w:val="paragraph"/>
        <w:rPr>
          <w:rFonts w:ascii="Century Gothic" w:hAnsi="Century Gothic"/>
          <w:sz w:val="18"/>
          <w:szCs w:val="18"/>
          <w:lang w:eastAsia="en-GB"/>
        </w:rPr>
      </w:pPr>
      <w:r w:rsidRPr="000A0543">
        <w:rPr>
          <w:rFonts w:ascii="Century Gothic" w:hAnsi="Century Gothic"/>
          <w:lang w:eastAsia="en-GB"/>
        </w:rPr>
        <w:t>If a participant has a history of managing their own affairs successfully, they should be presumed as having the capacity to continue. It should also be considered that a person may mostly manage their own affairs but may require support from an external advisor or supporter from time to time. </w:t>
      </w:r>
    </w:p>
    <w:p w14:paraId="14A5964F" w14:textId="77777777" w:rsidR="00C3372B" w:rsidRPr="000A0543" w:rsidRDefault="00C3372B" w:rsidP="00C3372B">
      <w:pPr>
        <w:pStyle w:val="paragraph"/>
        <w:rPr>
          <w:rFonts w:ascii="Century Gothic" w:hAnsi="Century Gothic"/>
          <w:sz w:val="18"/>
          <w:szCs w:val="18"/>
          <w:lang w:eastAsia="en-GB"/>
        </w:rPr>
      </w:pPr>
      <w:r w:rsidRPr="000A0543">
        <w:rPr>
          <w:rFonts w:ascii="Century Gothic" w:hAnsi="Century Gothic"/>
          <w:lang w:eastAsia="en-GB"/>
        </w:rPr>
        <w:t xml:space="preserve">Where a participant requires financial management, it is preferable if the financial manager is from their family or close network. Failing that, the </w:t>
      </w:r>
      <w:r w:rsidRPr="000A0543">
        <w:rPr>
          <w:rFonts w:ascii="Century Gothic" w:hAnsi="Century Gothic"/>
          <w:lang w:eastAsia="en-GB"/>
        </w:rPr>
        <w:lastRenderedPageBreak/>
        <w:t>relevant State or Territory Trustee or Guardian may accept a submission to manage the participant’s affairs. </w:t>
      </w:r>
    </w:p>
    <w:p w14:paraId="2F841943" w14:textId="77777777" w:rsidR="00C3372B" w:rsidRPr="000A0543" w:rsidRDefault="00C3372B" w:rsidP="00C3372B">
      <w:pPr>
        <w:pStyle w:val="Heading2"/>
        <w:rPr>
          <w:rFonts w:ascii="Century Gothic" w:hAnsi="Century Gothic"/>
        </w:rPr>
      </w:pPr>
      <w:r w:rsidRPr="000A0543">
        <w:rPr>
          <w:rFonts w:ascii="Century Gothic" w:hAnsi="Century Gothic"/>
        </w:rPr>
        <w:t>PROVIDING ADVICE TO PARTICIPANTS</w:t>
      </w:r>
    </w:p>
    <w:p w14:paraId="79C9DA88" w14:textId="77777777" w:rsidR="00C3372B" w:rsidRPr="000A0543" w:rsidRDefault="00C3372B" w:rsidP="00C3372B">
      <w:pPr>
        <w:pStyle w:val="paragraph"/>
        <w:rPr>
          <w:rFonts w:ascii="Century Gothic" w:hAnsi="Century Gothic"/>
          <w:sz w:val="18"/>
          <w:szCs w:val="18"/>
          <w:lang w:eastAsia="en-GB"/>
        </w:rPr>
      </w:pPr>
      <w:r w:rsidRPr="000A0543">
        <w:rPr>
          <w:rFonts w:ascii="Century Gothic" w:hAnsi="Century Gothic"/>
          <w:lang w:eastAsia="en-GB"/>
        </w:rPr>
        <w:t>All employees, contractors, students, and volunteers must not advise, manage, or make financial decisions for participants. Staff do not give financial advice beyond assisting the participant decide discretionary expenditure such as coffee vs lunch. </w:t>
      </w:r>
    </w:p>
    <w:p w14:paraId="4FD18047" w14:textId="77777777" w:rsidR="00C3372B" w:rsidRPr="000A0543" w:rsidRDefault="00C3372B" w:rsidP="00C3372B">
      <w:pPr>
        <w:pStyle w:val="paragraph"/>
        <w:rPr>
          <w:rFonts w:ascii="Century Gothic" w:hAnsi="Century Gothic"/>
          <w:sz w:val="18"/>
          <w:szCs w:val="18"/>
          <w:lang w:eastAsia="en-GB"/>
        </w:rPr>
      </w:pPr>
      <w:r w:rsidRPr="000A0543">
        <w:rPr>
          <w:rFonts w:ascii="Century Gothic" w:hAnsi="Century Gothic"/>
          <w:lang w:eastAsia="en-GB"/>
        </w:rPr>
        <w:t>Communication with each participant about this policy must be provided in the language, mode of communication and terms that the participant is most likely to understand. </w:t>
      </w:r>
    </w:p>
    <w:p w14:paraId="3332FAC9" w14:textId="77777777" w:rsidR="00C3372B" w:rsidRPr="000A0543" w:rsidRDefault="00C3372B" w:rsidP="00C3372B">
      <w:pPr>
        <w:pStyle w:val="paragraph"/>
        <w:rPr>
          <w:rFonts w:ascii="Century Gothic" w:hAnsi="Century Gothic"/>
        </w:rPr>
      </w:pPr>
      <w:r w:rsidRPr="000A0543">
        <w:rPr>
          <w:rFonts w:ascii="Century Gothic" w:hAnsi="Century Gothic"/>
        </w:rPr>
        <w:t xml:space="preserve">Participants always have direct responsibility for managing their own financial affairs. In the course of their job, support workers may at times be required to go shopping for a participant without the participant being present. </w:t>
      </w:r>
    </w:p>
    <w:p w14:paraId="45CBC670" w14:textId="77777777" w:rsidR="00C3372B" w:rsidRPr="000A0543" w:rsidRDefault="00C3372B" w:rsidP="00C3372B">
      <w:pPr>
        <w:pStyle w:val="Heading2"/>
        <w:rPr>
          <w:rFonts w:ascii="Century Gothic" w:hAnsi="Century Gothic"/>
        </w:rPr>
      </w:pPr>
      <w:r w:rsidRPr="000A0543">
        <w:rPr>
          <w:rFonts w:ascii="Century Gothic" w:hAnsi="Century Gothic"/>
        </w:rPr>
        <w:t>PROCEDURES</w:t>
      </w:r>
    </w:p>
    <w:p w14:paraId="3588933A" w14:textId="77777777" w:rsidR="00C3372B" w:rsidRPr="000A0543" w:rsidRDefault="00C3372B" w:rsidP="00C3372B">
      <w:pPr>
        <w:pStyle w:val="Heading3"/>
        <w:rPr>
          <w:rFonts w:ascii="Century Gothic" w:hAnsi="Century Gothic"/>
        </w:rPr>
      </w:pPr>
      <w:r w:rsidRPr="000A0543">
        <w:rPr>
          <w:rFonts w:ascii="Century Gothic" w:hAnsi="Century Gothic"/>
        </w:rPr>
        <w:t>Keeping receipts for purchases</w:t>
      </w:r>
    </w:p>
    <w:p w14:paraId="5384D80F" w14:textId="1BF2BADD" w:rsidR="00C3372B" w:rsidRPr="000A0543" w:rsidRDefault="00C3372B" w:rsidP="00C3372B">
      <w:pPr>
        <w:pStyle w:val="paragraph"/>
        <w:rPr>
          <w:rFonts w:ascii="Century Gothic" w:hAnsi="Century Gothic"/>
        </w:rPr>
      </w:pPr>
      <w:r w:rsidRPr="000A0543">
        <w:rPr>
          <w:rFonts w:ascii="Century Gothic" w:hAnsi="Century Gothic"/>
        </w:rPr>
        <w:t xml:space="preserve">A receipt must be obtained for every transaction. If there is no receipt, the </w:t>
      </w:r>
      <w:r w:rsidR="00C57812" w:rsidRPr="00C57812">
        <w:rPr>
          <w:rFonts w:ascii="Century Gothic" w:hAnsi="Century Gothic"/>
          <w:i/>
          <w:iCs/>
        </w:rPr>
        <w:t xml:space="preserve">P10 </w:t>
      </w:r>
      <w:r w:rsidRPr="000A0543">
        <w:rPr>
          <w:rFonts w:ascii="Century Gothic" w:hAnsi="Century Gothic"/>
          <w:i/>
          <w:iCs/>
        </w:rPr>
        <w:t>Participant Expenditure Form</w:t>
      </w:r>
      <w:r w:rsidRPr="000A0543">
        <w:rPr>
          <w:rFonts w:ascii="Century Gothic" w:hAnsi="Century Gothic"/>
        </w:rPr>
        <w:t xml:space="preserve"> must be completed with the following details:</w:t>
      </w:r>
    </w:p>
    <w:p w14:paraId="2A6195EF" w14:textId="77777777" w:rsidR="00C3372B" w:rsidRPr="000A0543" w:rsidRDefault="00C3372B" w:rsidP="00C3372B">
      <w:pPr>
        <w:pStyle w:val="Bullet1"/>
        <w:rPr>
          <w:rFonts w:ascii="Century Gothic" w:hAnsi="Century Gothic"/>
        </w:rPr>
      </w:pPr>
      <w:r w:rsidRPr="000A0543">
        <w:rPr>
          <w:rFonts w:ascii="Century Gothic" w:hAnsi="Century Gothic"/>
        </w:rPr>
        <w:t>Participant name.</w:t>
      </w:r>
    </w:p>
    <w:p w14:paraId="7CC1CD88" w14:textId="77777777" w:rsidR="00C3372B" w:rsidRPr="000A0543" w:rsidRDefault="00C3372B" w:rsidP="00C3372B">
      <w:pPr>
        <w:pStyle w:val="Bullet1"/>
        <w:rPr>
          <w:rFonts w:ascii="Century Gothic" w:hAnsi="Century Gothic"/>
        </w:rPr>
      </w:pPr>
      <w:r w:rsidRPr="000A0543">
        <w:rPr>
          <w:rFonts w:ascii="Century Gothic" w:hAnsi="Century Gothic"/>
        </w:rPr>
        <w:t>Date the money was spent.</w:t>
      </w:r>
    </w:p>
    <w:p w14:paraId="31F6E733" w14:textId="77777777" w:rsidR="00C3372B" w:rsidRPr="000A0543" w:rsidRDefault="00C3372B" w:rsidP="00C3372B">
      <w:pPr>
        <w:pStyle w:val="Bullet1"/>
        <w:rPr>
          <w:rFonts w:ascii="Century Gothic" w:hAnsi="Century Gothic"/>
        </w:rPr>
      </w:pPr>
      <w:r w:rsidRPr="000A0543">
        <w:rPr>
          <w:rFonts w:ascii="Century Gothic" w:hAnsi="Century Gothic"/>
        </w:rPr>
        <w:t xml:space="preserve">Details of the item purchased. </w:t>
      </w:r>
    </w:p>
    <w:p w14:paraId="68104EB1" w14:textId="77777777" w:rsidR="00C3372B" w:rsidRPr="000A0543" w:rsidRDefault="00C3372B" w:rsidP="00C3372B">
      <w:pPr>
        <w:pStyle w:val="Bullet1"/>
        <w:rPr>
          <w:rFonts w:ascii="Century Gothic" w:hAnsi="Century Gothic"/>
        </w:rPr>
      </w:pPr>
      <w:r w:rsidRPr="000A0543">
        <w:rPr>
          <w:rFonts w:ascii="Century Gothic" w:hAnsi="Century Gothic"/>
        </w:rPr>
        <w:t>Amount(s) spent (if you have the breakdown) and the total amount spent.</w:t>
      </w:r>
    </w:p>
    <w:p w14:paraId="54A7BADC" w14:textId="77777777" w:rsidR="00C3372B" w:rsidRPr="000A0543" w:rsidRDefault="00C3372B" w:rsidP="00C3372B">
      <w:pPr>
        <w:pStyle w:val="Bullet1"/>
        <w:rPr>
          <w:rFonts w:ascii="Century Gothic" w:hAnsi="Century Gothic"/>
        </w:rPr>
      </w:pPr>
      <w:r w:rsidRPr="000A0543">
        <w:rPr>
          <w:rFonts w:ascii="Century Gothic" w:hAnsi="Century Gothic"/>
        </w:rPr>
        <w:t>Staff name and signature.</w:t>
      </w:r>
    </w:p>
    <w:p w14:paraId="41B86C9A" w14:textId="77777777" w:rsidR="00C3372B" w:rsidRPr="000A0543" w:rsidRDefault="00C3372B" w:rsidP="00C3372B">
      <w:pPr>
        <w:pStyle w:val="Heading3"/>
        <w:rPr>
          <w:rFonts w:ascii="Century Gothic" w:hAnsi="Century Gothic"/>
        </w:rPr>
      </w:pPr>
      <w:r w:rsidRPr="000A0543">
        <w:rPr>
          <w:rFonts w:ascii="Century Gothic" w:hAnsi="Century Gothic"/>
        </w:rPr>
        <w:t>Unaccompanied shopping</w:t>
      </w:r>
    </w:p>
    <w:p w14:paraId="5B2B3240" w14:textId="7C29176B" w:rsidR="00C3372B" w:rsidRPr="000A0543" w:rsidRDefault="00C3372B" w:rsidP="00C3372B">
      <w:pPr>
        <w:pStyle w:val="paragraph"/>
        <w:rPr>
          <w:rFonts w:ascii="Century Gothic" w:hAnsi="Century Gothic"/>
        </w:rPr>
      </w:pPr>
      <w:r w:rsidRPr="000A0543">
        <w:rPr>
          <w:rFonts w:ascii="Century Gothic" w:hAnsi="Century Gothic"/>
        </w:rPr>
        <w:t xml:space="preserve">Unaccompanied shopping includes requests by the participant to purchase groceries or other small items. A signed </w:t>
      </w:r>
      <w:r w:rsidR="00C57812" w:rsidRPr="00C57812">
        <w:rPr>
          <w:rFonts w:ascii="Century Gothic" w:hAnsi="Century Gothic"/>
          <w:i/>
          <w:iCs/>
        </w:rPr>
        <w:t>P04</w:t>
      </w:r>
      <w:r w:rsidR="00C57812">
        <w:rPr>
          <w:rFonts w:ascii="Century Gothic" w:hAnsi="Century Gothic"/>
        </w:rPr>
        <w:t xml:space="preserve"> </w:t>
      </w:r>
      <w:r w:rsidRPr="000A0543">
        <w:rPr>
          <w:rFonts w:ascii="Century Gothic" w:hAnsi="Century Gothic"/>
          <w:i/>
          <w:iCs/>
        </w:rPr>
        <w:t>Consent Form</w:t>
      </w:r>
      <w:r w:rsidRPr="000A0543">
        <w:rPr>
          <w:rFonts w:ascii="Century Gothic" w:hAnsi="Century Gothic"/>
        </w:rPr>
        <w:t xml:space="preserve"> must be in place before any unaccompanied shopping. A copy of the completed form is to be kept at the participant’s home and in their file at the head office.  </w:t>
      </w:r>
    </w:p>
    <w:p w14:paraId="2333A714" w14:textId="77777777" w:rsidR="00C3372B" w:rsidRPr="000A0543" w:rsidRDefault="00C3372B" w:rsidP="00C3372B">
      <w:pPr>
        <w:pStyle w:val="paragraph"/>
        <w:rPr>
          <w:rFonts w:ascii="Century Gothic" w:hAnsi="Century Gothic"/>
        </w:rPr>
      </w:pPr>
      <w:r w:rsidRPr="000A0543">
        <w:rPr>
          <w:rFonts w:ascii="Century Gothic" w:hAnsi="Century Gothic"/>
        </w:rPr>
        <w:t xml:space="preserve">Under no circumstance should a staff member take possession of a participant’s personal debit/ credit card. The only cards to be used by </w:t>
      </w:r>
      <w:r w:rsidRPr="000A0543">
        <w:rPr>
          <w:rFonts w:ascii="Century Gothic" w:hAnsi="Century Gothic"/>
        </w:rPr>
        <w:lastRenderedPageBreak/>
        <w:t xml:space="preserve">support workers are companion cards, retail-specific gift cards e.g., </w:t>
      </w:r>
      <w:proofErr w:type="gramStart"/>
      <w:r w:rsidRPr="000A0543">
        <w:rPr>
          <w:rFonts w:ascii="Century Gothic" w:hAnsi="Century Gothic"/>
        </w:rPr>
        <w:t>Coles</w:t>
      </w:r>
      <w:proofErr w:type="gramEnd"/>
      <w:r w:rsidRPr="000A0543">
        <w:rPr>
          <w:rFonts w:ascii="Century Gothic" w:hAnsi="Century Gothic"/>
        </w:rPr>
        <w:t xml:space="preserve"> gift card or debit cards that have limited funds provided for the sole purpose of buying essential items for the participant. </w:t>
      </w:r>
    </w:p>
    <w:p w14:paraId="0F9D7E57" w14:textId="77777777" w:rsidR="00C3372B" w:rsidRPr="000A0543" w:rsidRDefault="00C3372B" w:rsidP="00C3372B">
      <w:pPr>
        <w:pStyle w:val="paragraph"/>
        <w:rPr>
          <w:rFonts w:ascii="Century Gothic" w:hAnsi="Century Gothic"/>
        </w:rPr>
      </w:pPr>
      <w:r w:rsidRPr="000A0543">
        <w:rPr>
          <w:rFonts w:ascii="Century Gothic" w:hAnsi="Century Gothic"/>
        </w:rPr>
        <w:t>If a participant asks a staff member to use their personal debit or credit card the staff member is to politely refuse - refer the participant to the Managing Director if they have any questions regarding this policy.</w:t>
      </w:r>
    </w:p>
    <w:p w14:paraId="28047B71" w14:textId="77777777" w:rsidR="00C3372B" w:rsidRPr="000A0543" w:rsidRDefault="00C3372B" w:rsidP="00C3372B">
      <w:pPr>
        <w:pStyle w:val="paragraph"/>
        <w:rPr>
          <w:rFonts w:ascii="Century Gothic" w:hAnsi="Century Gothic"/>
        </w:rPr>
      </w:pPr>
      <w:r w:rsidRPr="000A0543">
        <w:rPr>
          <w:rFonts w:ascii="Century Gothic" w:hAnsi="Century Gothic"/>
        </w:rPr>
        <w:t>Support workers must provide participants with a receipt for purchases. Where this is not possible, support workers are to write a receipt using non-erasable ink, black or blue point pen.</w:t>
      </w:r>
    </w:p>
    <w:p w14:paraId="4F005B7E" w14:textId="77777777" w:rsidR="00C3372B" w:rsidRPr="000A0543" w:rsidRDefault="00C3372B" w:rsidP="00C3372B">
      <w:pPr>
        <w:pStyle w:val="Heading3"/>
        <w:rPr>
          <w:rFonts w:ascii="Century Gothic" w:hAnsi="Century Gothic"/>
        </w:rPr>
      </w:pPr>
      <w:r w:rsidRPr="000A0543">
        <w:rPr>
          <w:rFonts w:ascii="Century Gothic" w:hAnsi="Century Gothic"/>
        </w:rPr>
        <w:t>Staff must not:</w:t>
      </w:r>
    </w:p>
    <w:p w14:paraId="5BC2C883" w14:textId="77777777" w:rsidR="00C3372B" w:rsidRPr="000A0543" w:rsidRDefault="00C3372B" w:rsidP="00C3372B">
      <w:pPr>
        <w:pStyle w:val="Bullet1"/>
        <w:rPr>
          <w:rFonts w:ascii="Century Gothic" w:hAnsi="Century Gothic"/>
        </w:rPr>
      </w:pPr>
      <w:r w:rsidRPr="000A0543">
        <w:rPr>
          <w:rFonts w:ascii="Century Gothic" w:hAnsi="Century Gothic"/>
        </w:rPr>
        <w:t xml:space="preserve">Make personal purchases with any participant monies. </w:t>
      </w:r>
    </w:p>
    <w:p w14:paraId="5A933E54" w14:textId="77777777" w:rsidR="00C3372B" w:rsidRPr="000A0543" w:rsidRDefault="00C3372B" w:rsidP="00C3372B">
      <w:pPr>
        <w:pStyle w:val="Bullet1"/>
        <w:rPr>
          <w:rFonts w:ascii="Century Gothic" w:hAnsi="Century Gothic"/>
        </w:rPr>
      </w:pPr>
      <w:r w:rsidRPr="000A0543">
        <w:rPr>
          <w:rFonts w:ascii="Century Gothic" w:hAnsi="Century Gothic"/>
        </w:rPr>
        <w:t xml:space="preserve">Borrow money from the participant.  </w:t>
      </w:r>
    </w:p>
    <w:p w14:paraId="5DCAF634" w14:textId="77777777" w:rsidR="00C3372B" w:rsidRPr="000A0543" w:rsidRDefault="00C3372B" w:rsidP="00C3372B">
      <w:pPr>
        <w:pStyle w:val="Bullet1"/>
        <w:rPr>
          <w:rFonts w:ascii="Century Gothic" w:hAnsi="Century Gothic"/>
        </w:rPr>
      </w:pPr>
      <w:r w:rsidRPr="000A0543">
        <w:rPr>
          <w:rFonts w:ascii="Century Gothic" w:hAnsi="Century Gothic"/>
        </w:rPr>
        <w:t>Pay for any participant-related expenses with the employee’s personal monies.</w:t>
      </w:r>
    </w:p>
    <w:p w14:paraId="4E5412FD" w14:textId="77777777" w:rsidR="00C3372B" w:rsidRPr="000A0543" w:rsidRDefault="00C3372B" w:rsidP="00C3372B">
      <w:pPr>
        <w:pStyle w:val="Bullet1"/>
        <w:rPr>
          <w:rFonts w:ascii="Century Gothic" w:hAnsi="Century Gothic"/>
        </w:rPr>
      </w:pPr>
      <w:r w:rsidRPr="000A0543">
        <w:rPr>
          <w:rFonts w:ascii="Century Gothic" w:hAnsi="Century Gothic"/>
        </w:rPr>
        <w:t>Use participant money to cover the cost of meals or entry into venues/ entertainment for an employee.</w:t>
      </w:r>
    </w:p>
    <w:p w14:paraId="0A69558C" w14:textId="77777777" w:rsidR="00C3372B" w:rsidRPr="000A0543" w:rsidRDefault="00C3372B" w:rsidP="00C3372B">
      <w:pPr>
        <w:pStyle w:val="Bullet1"/>
        <w:rPr>
          <w:rFonts w:ascii="Century Gothic" w:hAnsi="Century Gothic"/>
        </w:rPr>
      </w:pPr>
      <w:r w:rsidRPr="000A0543">
        <w:rPr>
          <w:rFonts w:ascii="Century Gothic" w:hAnsi="Century Gothic"/>
        </w:rPr>
        <w:t>Provide financial advice to participants, their families, or carers.</w:t>
      </w:r>
    </w:p>
    <w:p w14:paraId="060382FA" w14:textId="77777777" w:rsidR="00C3372B" w:rsidRPr="000A0543" w:rsidRDefault="00C3372B" w:rsidP="00C3372B">
      <w:pPr>
        <w:pStyle w:val="Heading3"/>
        <w:rPr>
          <w:rFonts w:ascii="Century Gothic" w:hAnsi="Century Gothic"/>
        </w:rPr>
      </w:pPr>
      <w:r w:rsidRPr="000A0543">
        <w:rPr>
          <w:rFonts w:ascii="Century Gothic" w:hAnsi="Century Gothic"/>
        </w:rPr>
        <w:t>Misappropriation of participant’s funds</w:t>
      </w:r>
    </w:p>
    <w:p w14:paraId="4FC45D41" w14:textId="77777777" w:rsidR="00C3372B" w:rsidRPr="000A0543" w:rsidRDefault="00C3372B" w:rsidP="00C3372B">
      <w:pPr>
        <w:pStyle w:val="Bullet1"/>
        <w:rPr>
          <w:rFonts w:ascii="Century Gothic" w:hAnsi="Century Gothic"/>
        </w:rPr>
      </w:pPr>
      <w:r w:rsidRPr="000A0543">
        <w:rPr>
          <w:rFonts w:ascii="Century Gothic" w:hAnsi="Century Gothic"/>
        </w:rPr>
        <w:t>Misappropriation of participant’s funds will be dealt with under our managing misconduct policies and will result in disciplinary action being taken.</w:t>
      </w:r>
    </w:p>
    <w:p w14:paraId="3B3A5570" w14:textId="77777777" w:rsidR="00C3372B" w:rsidRPr="000A0543" w:rsidRDefault="00C3372B" w:rsidP="00C3372B">
      <w:pPr>
        <w:pStyle w:val="Heading2"/>
        <w:rPr>
          <w:rFonts w:ascii="Century Gothic" w:hAnsi="Century Gothic"/>
        </w:rPr>
      </w:pPr>
      <w:r w:rsidRPr="000A0543">
        <w:rPr>
          <w:rFonts w:ascii="Century Gothic" w:hAnsi="Century Gothic"/>
        </w:rPr>
        <w:t>PARTICIPANT PROPERTY AND BELONGINGS</w:t>
      </w:r>
    </w:p>
    <w:p w14:paraId="47EC86D3" w14:textId="77777777" w:rsidR="00C3372B" w:rsidRPr="000A0543" w:rsidRDefault="00C3372B" w:rsidP="00C3372B">
      <w:pPr>
        <w:pStyle w:val="paragraph"/>
        <w:rPr>
          <w:rFonts w:ascii="Century Gothic" w:hAnsi="Century Gothic"/>
        </w:rPr>
      </w:pPr>
      <w:r w:rsidRPr="000A0543">
        <w:rPr>
          <w:rFonts w:ascii="Century Gothic" w:hAnsi="Century Gothic"/>
        </w:rPr>
        <w:t>Participants are responsible for managing their own property while receiving supports from us. The only instances where staff may handle participant property in the community are:</w:t>
      </w:r>
    </w:p>
    <w:p w14:paraId="57FD1E06" w14:textId="77777777" w:rsidR="00C3372B" w:rsidRPr="000A0543" w:rsidRDefault="00C3372B" w:rsidP="00C3372B">
      <w:pPr>
        <w:pStyle w:val="Bullet1"/>
        <w:rPr>
          <w:rFonts w:ascii="Century Gothic" w:hAnsi="Century Gothic"/>
        </w:rPr>
      </w:pPr>
      <w:r w:rsidRPr="000A0543">
        <w:rPr>
          <w:rFonts w:ascii="Century Gothic" w:hAnsi="Century Gothic"/>
        </w:rPr>
        <w:t xml:space="preserve">Transporting mobility equipment such as wheelchairs, </w:t>
      </w:r>
      <w:proofErr w:type="gramStart"/>
      <w:r w:rsidRPr="000A0543">
        <w:rPr>
          <w:rFonts w:ascii="Century Gothic" w:hAnsi="Century Gothic"/>
        </w:rPr>
        <w:t>walkers</w:t>
      </w:r>
      <w:proofErr w:type="gramEnd"/>
      <w:r w:rsidRPr="000A0543">
        <w:rPr>
          <w:rFonts w:ascii="Century Gothic" w:hAnsi="Century Gothic"/>
        </w:rPr>
        <w:t xml:space="preserve"> and walking sticks when the participant requests it, is part of their support plan, or is unable to do so themselves.</w:t>
      </w:r>
    </w:p>
    <w:p w14:paraId="2475B010" w14:textId="77777777" w:rsidR="00C3372B" w:rsidRPr="000A0543" w:rsidRDefault="00C3372B" w:rsidP="00C3372B">
      <w:pPr>
        <w:pStyle w:val="Bullet1"/>
        <w:rPr>
          <w:rFonts w:ascii="Century Gothic" w:hAnsi="Century Gothic"/>
        </w:rPr>
      </w:pPr>
      <w:r w:rsidRPr="000A0543">
        <w:rPr>
          <w:rFonts w:ascii="Century Gothic" w:hAnsi="Century Gothic"/>
        </w:rPr>
        <w:t>Carrying bags such as backpacks, where the participant requests it, is part of their support plan, or is unable to do so themselves.</w:t>
      </w:r>
    </w:p>
    <w:p w14:paraId="51F00E28" w14:textId="77777777" w:rsidR="00C3372B" w:rsidRPr="000A0543" w:rsidRDefault="00C3372B" w:rsidP="00C3372B">
      <w:pPr>
        <w:pStyle w:val="Bullet1"/>
        <w:rPr>
          <w:rFonts w:ascii="Century Gothic" w:hAnsi="Century Gothic"/>
        </w:rPr>
      </w:pPr>
      <w:r w:rsidRPr="000A0543">
        <w:rPr>
          <w:rFonts w:ascii="Century Gothic" w:hAnsi="Century Gothic"/>
        </w:rPr>
        <w:t>Carrying outer wear such as jackets or jumpers when the participant requests it or is unable to do so themselves.</w:t>
      </w:r>
    </w:p>
    <w:p w14:paraId="015C0527" w14:textId="77777777" w:rsidR="00C3372B" w:rsidRPr="000A0543" w:rsidRDefault="00C3372B" w:rsidP="00C3372B">
      <w:pPr>
        <w:pStyle w:val="paragraph"/>
        <w:rPr>
          <w:rFonts w:ascii="Century Gothic" w:hAnsi="Century Gothic"/>
        </w:rPr>
      </w:pPr>
      <w:r w:rsidRPr="000A0543">
        <w:rPr>
          <w:rFonts w:ascii="Century Gothic" w:hAnsi="Century Gothic"/>
          <w:shd w:val="clear" w:color="auto" w:fill="FFFFFF" w:themeFill="background1"/>
        </w:rPr>
        <w:lastRenderedPageBreak/>
        <w:t>Transpiral Wellbeing does not take responsibility for any loss of participant belongings in</w:t>
      </w:r>
      <w:r w:rsidRPr="000A0543">
        <w:rPr>
          <w:rFonts w:ascii="Century Gothic" w:hAnsi="Century Gothic"/>
        </w:rPr>
        <w:t xml:space="preserve"> the above circumstances.</w:t>
      </w:r>
    </w:p>
    <w:p w14:paraId="423E5CDE" w14:textId="77777777" w:rsidR="00C3372B" w:rsidRPr="000A0543" w:rsidRDefault="00C3372B" w:rsidP="00C3372B">
      <w:pPr>
        <w:pStyle w:val="Boldheading"/>
        <w:rPr>
          <w:rFonts w:ascii="Century Gothic" w:hAnsi="Century Gothic"/>
        </w:rPr>
      </w:pPr>
      <w:r w:rsidRPr="000A0543">
        <w:rPr>
          <w:rFonts w:ascii="Century Gothic" w:hAnsi="Century Gothic"/>
        </w:rPr>
        <w:t>Staff must not:</w:t>
      </w:r>
    </w:p>
    <w:p w14:paraId="6D7D9739" w14:textId="77777777" w:rsidR="00C3372B" w:rsidRPr="000A0543" w:rsidRDefault="00C3372B" w:rsidP="00C3372B">
      <w:pPr>
        <w:pStyle w:val="Bullet1"/>
        <w:rPr>
          <w:rFonts w:ascii="Century Gothic" w:hAnsi="Century Gothic"/>
        </w:rPr>
      </w:pPr>
      <w:r w:rsidRPr="000A0543">
        <w:rPr>
          <w:rFonts w:ascii="Century Gothic" w:hAnsi="Century Gothic"/>
        </w:rPr>
        <w:t>Borrow a participant’s property or belongings.</w:t>
      </w:r>
    </w:p>
    <w:p w14:paraId="061F6491" w14:textId="77777777" w:rsidR="00C3372B" w:rsidRPr="000A0543" w:rsidRDefault="00C3372B" w:rsidP="00C3372B">
      <w:pPr>
        <w:pStyle w:val="Bullet1"/>
        <w:rPr>
          <w:rFonts w:ascii="Century Gothic" w:hAnsi="Century Gothic"/>
        </w:rPr>
      </w:pPr>
      <w:r w:rsidRPr="000A0543">
        <w:rPr>
          <w:rFonts w:ascii="Century Gothic" w:hAnsi="Century Gothic"/>
        </w:rPr>
        <w:t>Take a participant’s property or belongings from their home without their consent.</w:t>
      </w:r>
    </w:p>
    <w:p w14:paraId="7D61AFB7" w14:textId="77777777" w:rsidR="00C3372B" w:rsidRPr="000A0543" w:rsidRDefault="00C3372B" w:rsidP="00C3372B">
      <w:pPr>
        <w:pStyle w:val="Heading2"/>
        <w:rPr>
          <w:rFonts w:ascii="Century Gothic" w:hAnsi="Century Gothic"/>
        </w:rPr>
      </w:pPr>
      <w:r w:rsidRPr="000A0543">
        <w:rPr>
          <w:rFonts w:ascii="Century Gothic" w:hAnsi="Century Gothic"/>
        </w:rPr>
        <w:t>RELATED DOCUMENTS</w:t>
      </w:r>
    </w:p>
    <w:p w14:paraId="279F03A8" w14:textId="1A59ABEB" w:rsidR="00C3372B" w:rsidRPr="000A0543" w:rsidRDefault="00200E76" w:rsidP="00C3372B">
      <w:pPr>
        <w:pStyle w:val="Bullet1"/>
        <w:rPr>
          <w:rFonts w:ascii="Century Gothic" w:hAnsi="Century Gothic"/>
        </w:rPr>
      </w:pPr>
      <w:r>
        <w:rPr>
          <w:rFonts w:ascii="Century Gothic" w:hAnsi="Century Gothic"/>
        </w:rPr>
        <w:t xml:space="preserve">P15 </w:t>
      </w:r>
      <w:r w:rsidR="00C3372B" w:rsidRPr="000A0543">
        <w:rPr>
          <w:rFonts w:ascii="Century Gothic" w:hAnsi="Century Gothic"/>
        </w:rPr>
        <w:t>Participant Welcome Handbook</w:t>
      </w:r>
    </w:p>
    <w:p w14:paraId="1A5C0765" w14:textId="7E55AEB2" w:rsidR="00C3372B" w:rsidRPr="000A0543" w:rsidRDefault="00C57812" w:rsidP="00C3372B">
      <w:pPr>
        <w:pStyle w:val="Bullet1"/>
        <w:rPr>
          <w:rFonts w:ascii="Century Gothic" w:hAnsi="Century Gothic"/>
        </w:rPr>
      </w:pPr>
      <w:r>
        <w:rPr>
          <w:rFonts w:ascii="Century Gothic" w:hAnsi="Century Gothic"/>
        </w:rPr>
        <w:t xml:space="preserve">P04 </w:t>
      </w:r>
      <w:r w:rsidR="00C3372B" w:rsidRPr="000A0543">
        <w:rPr>
          <w:rFonts w:ascii="Century Gothic" w:hAnsi="Century Gothic"/>
        </w:rPr>
        <w:t>Consent Form</w:t>
      </w:r>
    </w:p>
    <w:p w14:paraId="57946C7B" w14:textId="2E1125DA" w:rsidR="00C3372B" w:rsidRPr="000A0543" w:rsidRDefault="00C57812" w:rsidP="00C3372B">
      <w:pPr>
        <w:pStyle w:val="Bullet1"/>
        <w:rPr>
          <w:rFonts w:ascii="Century Gothic" w:hAnsi="Century Gothic"/>
        </w:rPr>
      </w:pPr>
      <w:r>
        <w:rPr>
          <w:rFonts w:ascii="Century Gothic" w:hAnsi="Century Gothic"/>
        </w:rPr>
        <w:t xml:space="preserve">P10 </w:t>
      </w:r>
      <w:r w:rsidR="00C3372B" w:rsidRPr="000A0543">
        <w:rPr>
          <w:rFonts w:ascii="Century Gothic" w:hAnsi="Century Gothic"/>
        </w:rPr>
        <w:t>Participant Expenditure Form</w:t>
      </w:r>
    </w:p>
    <w:p w14:paraId="55EDE812" w14:textId="1D29A640" w:rsidR="001F0BAC" w:rsidRPr="00D92538" w:rsidRDefault="001F0BAC" w:rsidP="005128E8"/>
    <w:sectPr w:rsidR="001F0BAC" w:rsidRPr="00D92538" w:rsidSect="00C16657">
      <w:headerReference w:type="default" r:id="rId11"/>
      <w:footerReference w:type="even" r:id="rId12"/>
      <w:footerReference w:type="default" r:id="rId13"/>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B7554" w14:textId="77777777" w:rsidR="00966D27" w:rsidRDefault="00966D27" w:rsidP="00242348">
      <w:r>
        <w:separator/>
      </w:r>
    </w:p>
  </w:endnote>
  <w:endnote w:type="continuationSeparator" w:id="0">
    <w:p w14:paraId="3357BF97" w14:textId="77777777" w:rsidR="00966D27" w:rsidRDefault="00966D27"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771"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564"/>
      <w:gridCol w:w="1691"/>
    </w:tblGrid>
    <w:tr w:rsidR="00DC4B5A" w:rsidRPr="0028419A" w14:paraId="5AC2743A" w14:textId="77777777" w:rsidTr="00C73158">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564"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C73158">
      <w:trPr>
        <w:trHeight w:val="263"/>
        <w:jc w:val="center"/>
      </w:trPr>
      <w:tc>
        <w:tcPr>
          <w:tcW w:w="2830" w:type="dxa"/>
        </w:tcPr>
        <w:p w14:paraId="70F1AA7C" w14:textId="143BD445" w:rsidR="00DC4B5A" w:rsidRPr="0028419A" w:rsidRDefault="00C3372B" w:rsidP="0028419A">
          <w:pPr>
            <w:pStyle w:val="Footerstyle"/>
          </w:pPr>
          <w:r>
            <w:t xml:space="preserve">Participant Finance &amp; Property </w:t>
          </w:r>
          <w:r w:rsidR="00366A19">
            <w:t>P</w:t>
          </w:r>
          <w:r w:rsidR="00DC4B5A" w:rsidRPr="0028419A">
            <w:t>olic</w:t>
          </w:r>
          <w:r w:rsidR="00E51E33">
            <w:t>y</w:t>
          </w:r>
        </w:p>
      </w:tc>
      <w:tc>
        <w:tcPr>
          <w:tcW w:w="993" w:type="dxa"/>
        </w:tcPr>
        <w:p w14:paraId="022659F3" w14:textId="1931B3E5" w:rsidR="00DC4B5A" w:rsidRPr="0028419A" w:rsidRDefault="00E9688A" w:rsidP="0028419A">
          <w:pPr>
            <w:pStyle w:val="Footerstyle"/>
          </w:pPr>
          <w:r w:rsidRPr="0028419A">
            <w:t>PP</w:t>
          </w:r>
          <w:r w:rsidR="00E51E33">
            <w:t xml:space="preserve"> </w:t>
          </w:r>
          <w:r w:rsidR="00702583">
            <w:t>2</w:t>
          </w:r>
          <w:r w:rsidR="00C3372B">
            <w:t>9</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564" w:type="dxa"/>
        </w:tcPr>
        <w:p w14:paraId="23D8B80C" w14:textId="044E4611" w:rsidR="00DC4B5A" w:rsidRPr="0028419A" w:rsidRDefault="00C73158" w:rsidP="0028419A">
          <w:pPr>
            <w:pStyle w:val="Footerstyle"/>
          </w:pPr>
          <w:r>
            <w:t>22</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5687" w14:textId="77777777" w:rsidR="00966D27" w:rsidRDefault="00966D27" w:rsidP="00242348">
      <w:r>
        <w:separator/>
      </w:r>
    </w:p>
  </w:footnote>
  <w:footnote w:type="continuationSeparator" w:id="0">
    <w:p w14:paraId="0AE146F8" w14:textId="77777777" w:rsidR="00966D27" w:rsidRDefault="00966D27"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0543"/>
    <w:rsid w:val="000A38FB"/>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C49F1"/>
    <w:rsid w:val="000C6350"/>
    <w:rsid w:val="000D0175"/>
    <w:rsid w:val="000D1B29"/>
    <w:rsid w:val="000D25C3"/>
    <w:rsid w:val="000D3D07"/>
    <w:rsid w:val="000D5F76"/>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0E76"/>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4BEC"/>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0632"/>
    <w:rsid w:val="00334D22"/>
    <w:rsid w:val="00336047"/>
    <w:rsid w:val="00340BE8"/>
    <w:rsid w:val="00341434"/>
    <w:rsid w:val="00341A3C"/>
    <w:rsid w:val="00344A2A"/>
    <w:rsid w:val="00345542"/>
    <w:rsid w:val="003501F0"/>
    <w:rsid w:val="00366A19"/>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6912"/>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4600"/>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3029"/>
    <w:rsid w:val="004E4908"/>
    <w:rsid w:val="004E497D"/>
    <w:rsid w:val="004E5F6A"/>
    <w:rsid w:val="004E7E05"/>
    <w:rsid w:val="004F6BFD"/>
    <w:rsid w:val="0050180A"/>
    <w:rsid w:val="00507B2A"/>
    <w:rsid w:val="00510B08"/>
    <w:rsid w:val="005128E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212F"/>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5F7891"/>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381C"/>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399E"/>
    <w:rsid w:val="006A574B"/>
    <w:rsid w:val="006B77D7"/>
    <w:rsid w:val="006C6B2A"/>
    <w:rsid w:val="006D18CF"/>
    <w:rsid w:val="006D2AC1"/>
    <w:rsid w:val="006D2CA2"/>
    <w:rsid w:val="006D7655"/>
    <w:rsid w:val="006E006B"/>
    <w:rsid w:val="006E2E88"/>
    <w:rsid w:val="006E3397"/>
    <w:rsid w:val="006E4703"/>
    <w:rsid w:val="006E5564"/>
    <w:rsid w:val="006E67F6"/>
    <w:rsid w:val="006F13F3"/>
    <w:rsid w:val="006F22D3"/>
    <w:rsid w:val="006F425E"/>
    <w:rsid w:val="006F5295"/>
    <w:rsid w:val="00702583"/>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59C0"/>
    <w:rsid w:val="00767564"/>
    <w:rsid w:val="007734AF"/>
    <w:rsid w:val="007748E8"/>
    <w:rsid w:val="007752F5"/>
    <w:rsid w:val="007753B2"/>
    <w:rsid w:val="007760CE"/>
    <w:rsid w:val="00780216"/>
    <w:rsid w:val="00784892"/>
    <w:rsid w:val="007874D6"/>
    <w:rsid w:val="00787AD7"/>
    <w:rsid w:val="007914B8"/>
    <w:rsid w:val="007934B4"/>
    <w:rsid w:val="00795DB7"/>
    <w:rsid w:val="007A2372"/>
    <w:rsid w:val="007A26F5"/>
    <w:rsid w:val="007A6FDE"/>
    <w:rsid w:val="007B1AA2"/>
    <w:rsid w:val="007B32BA"/>
    <w:rsid w:val="007B58AD"/>
    <w:rsid w:val="007C0232"/>
    <w:rsid w:val="007C0B7A"/>
    <w:rsid w:val="007C45FB"/>
    <w:rsid w:val="007C52BD"/>
    <w:rsid w:val="007D2660"/>
    <w:rsid w:val="007D325E"/>
    <w:rsid w:val="007D612F"/>
    <w:rsid w:val="007D7D51"/>
    <w:rsid w:val="007E06F8"/>
    <w:rsid w:val="007E1A65"/>
    <w:rsid w:val="007E2510"/>
    <w:rsid w:val="007E3102"/>
    <w:rsid w:val="007E549A"/>
    <w:rsid w:val="007E5F8D"/>
    <w:rsid w:val="007F0537"/>
    <w:rsid w:val="007F182C"/>
    <w:rsid w:val="007F2FA1"/>
    <w:rsid w:val="007F33A7"/>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4C61"/>
    <w:rsid w:val="00835975"/>
    <w:rsid w:val="00841D43"/>
    <w:rsid w:val="00845C32"/>
    <w:rsid w:val="00846164"/>
    <w:rsid w:val="0085059B"/>
    <w:rsid w:val="00852E7F"/>
    <w:rsid w:val="00854809"/>
    <w:rsid w:val="008568BB"/>
    <w:rsid w:val="008640E4"/>
    <w:rsid w:val="00875920"/>
    <w:rsid w:val="00884F10"/>
    <w:rsid w:val="008850B6"/>
    <w:rsid w:val="00886655"/>
    <w:rsid w:val="0088737C"/>
    <w:rsid w:val="00892913"/>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072"/>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66D27"/>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0F57"/>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4A8"/>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5CD7"/>
    <w:rsid w:val="00B76810"/>
    <w:rsid w:val="00B82C05"/>
    <w:rsid w:val="00B8623D"/>
    <w:rsid w:val="00B90DD4"/>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BF48F0"/>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372B"/>
    <w:rsid w:val="00C3546B"/>
    <w:rsid w:val="00C35BFA"/>
    <w:rsid w:val="00C40C09"/>
    <w:rsid w:val="00C4630A"/>
    <w:rsid w:val="00C50DC0"/>
    <w:rsid w:val="00C537C2"/>
    <w:rsid w:val="00C5598D"/>
    <w:rsid w:val="00C56880"/>
    <w:rsid w:val="00C57812"/>
    <w:rsid w:val="00C578AA"/>
    <w:rsid w:val="00C6229A"/>
    <w:rsid w:val="00C630D8"/>
    <w:rsid w:val="00C64B0E"/>
    <w:rsid w:val="00C65925"/>
    <w:rsid w:val="00C6798A"/>
    <w:rsid w:val="00C70919"/>
    <w:rsid w:val="00C73158"/>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3985"/>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2538"/>
    <w:rsid w:val="00D95D23"/>
    <w:rsid w:val="00DA2A78"/>
    <w:rsid w:val="00DA4A80"/>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BDE"/>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133"/>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B3338"/>
    <w:rsid w:val="00EC105D"/>
    <w:rsid w:val="00EC1CB5"/>
    <w:rsid w:val="00EC1CFA"/>
    <w:rsid w:val="00EC75D9"/>
    <w:rsid w:val="00EC7B00"/>
    <w:rsid w:val="00ED05B2"/>
    <w:rsid w:val="00ED0642"/>
    <w:rsid w:val="00ED1277"/>
    <w:rsid w:val="00EE10E8"/>
    <w:rsid w:val="00EE156A"/>
    <w:rsid w:val="00EE340A"/>
    <w:rsid w:val="00EE4AE9"/>
    <w:rsid w:val="00EE6B5E"/>
    <w:rsid w:val="00EE72F3"/>
    <w:rsid w:val="00EE787E"/>
    <w:rsid w:val="00EF293D"/>
    <w:rsid w:val="00F0180C"/>
    <w:rsid w:val="00F01D92"/>
    <w:rsid w:val="00F040C8"/>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6E54"/>
    <w:rsid w:val="00F47ED9"/>
    <w:rsid w:val="00F50292"/>
    <w:rsid w:val="00F50928"/>
    <w:rsid w:val="00F53B57"/>
    <w:rsid w:val="00F55AD6"/>
    <w:rsid w:val="00F57EC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5CDC-595E-49E6-9803-42A69FA35D75}">
  <ds:schemaRefs>
    <ds:schemaRef ds:uri="http://schemas.microsoft.com/office/2006/metadata/properties"/>
    <ds:schemaRef ds:uri="http://schemas.microsoft.com/office/infopath/2007/PartnerControls"/>
    <ds:schemaRef ds:uri="3f60790f-a993-46eb-8340-e72a2325a6c5"/>
    <ds:schemaRef ds:uri="cbca26e2-cde4-4d9c-be82-25fb437c2bd7"/>
  </ds:schemaRefs>
</ds:datastoreItem>
</file>

<file path=customXml/itemProps2.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3.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4.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827</Words>
  <Characters>4715</Characters>
  <Application>Microsoft Office Word</Application>
  <DocSecurity>0</DocSecurity>
  <Lines>39</Lines>
  <Paragraphs>11</Paragraphs>
  <ScaleCrop>false</ScaleCrop>
  <Manager/>
  <Company/>
  <LinksUpToDate>false</LinksUpToDate>
  <CharactersWithSpaces>5531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7</cp:revision>
  <dcterms:created xsi:type="dcterms:W3CDTF">2023-08-07T03:55:00Z</dcterms:created>
  <dcterms:modified xsi:type="dcterms:W3CDTF">2023-08-25T04:12:00Z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