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63A8" w14:textId="794736B4" w:rsidR="0056212F" w:rsidRPr="0081086B" w:rsidRDefault="0056212F" w:rsidP="0056212F">
      <w:pPr>
        <w:pStyle w:val="Heading1"/>
      </w:pPr>
      <w:bookmarkStart w:id="0" w:name="_Toc133763616"/>
      <w:r>
        <w:t xml:space="preserve">PP 25 - </w:t>
      </w:r>
      <w:r w:rsidRPr="0081086B">
        <w:t xml:space="preserve">Service Intake </w:t>
      </w:r>
      <w:r>
        <w:t xml:space="preserve">&amp; </w:t>
      </w:r>
      <w:r w:rsidRPr="0081086B">
        <w:t>Access</w:t>
      </w:r>
      <w:bookmarkEnd w:id="0"/>
      <w:r>
        <w:t xml:space="preserve"> Policy</w:t>
      </w:r>
    </w:p>
    <w:p w14:paraId="553001FE" w14:textId="77777777" w:rsidR="0056212F" w:rsidRPr="0081086B" w:rsidRDefault="0056212F" w:rsidP="0056212F">
      <w:pPr>
        <w:pStyle w:val="Heading2"/>
      </w:pPr>
      <w:bookmarkStart w:id="1" w:name="_Toc77515466"/>
      <w:r w:rsidRPr="0081086B">
        <w:t>POLICY STATEMENT</w:t>
      </w:r>
      <w:bookmarkEnd w:id="1"/>
    </w:p>
    <w:p w14:paraId="2DC93E92" w14:textId="77777777" w:rsidR="0056212F" w:rsidRPr="0081086B" w:rsidRDefault="0056212F" w:rsidP="0056212F">
      <w:pPr>
        <w:pStyle w:val="paragraph"/>
      </w:pPr>
      <w:r w:rsidRPr="0081086B">
        <w:t>We are committed to ensuring our participants have a positive experience when engaging with our services. This includes service intake, support planning and service exit processes.  Our intake and exit processes are designed to ensure that participants are fully informed about the services we provide, the cost of services and our entry criteria. We will ensure that:</w:t>
      </w:r>
    </w:p>
    <w:p w14:paraId="1C7243F4" w14:textId="77777777" w:rsidR="0056212F" w:rsidRPr="0081086B" w:rsidRDefault="0056212F" w:rsidP="0056212F">
      <w:pPr>
        <w:pStyle w:val="Bullet1"/>
      </w:pPr>
      <w:r>
        <w:t>P</w:t>
      </w:r>
      <w:r w:rsidRPr="0081086B">
        <w:t>articipants receiving our services are informed of their rights and responsibilities</w:t>
      </w:r>
      <w:r>
        <w:t>.</w:t>
      </w:r>
    </w:p>
    <w:p w14:paraId="66A5A41B" w14:textId="77777777" w:rsidR="0056212F" w:rsidRPr="0081086B" w:rsidRDefault="0056212F" w:rsidP="0056212F">
      <w:pPr>
        <w:pStyle w:val="Bullet1"/>
      </w:pPr>
      <w:r>
        <w:t>P</w:t>
      </w:r>
      <w:r w:rsidRPr="0081086B">
        <w:t>articipants are advised of our policies, including how to provide feedback or make a complaint</w:t>
      </w:r>
      <w:r>
        <w:t>.</w:t>
      </w:r>
    </w:p>
    <w:p w14:paraId="7B95900C" w14:textId="77777777" w:rsidR="0056212F" w:rsidRDefault="0056212F" w:rsidP="0056212F">
      <w:pPr>
        <w:pStyle w:val="Bullet1"/>
      </w:pPr>
      <w:r>
        <w:t>P</w:t>
      </w:r>
      <w:r w:rsidRPr="0081086B">
        <w:t>articipants agree to the supports to be provided including any associated costs</w:t>
      </w:r>
      <w:r>
        <w:t>.</w:t>
      </w:r>
    </w:p>
    <w:p w14:paraId="33C4204F" w14:textId="77777777" w:rsidR="0056212F" w:rsidRDefault="0056212F" w:rsidP="0056212F">
      <w:pPr>
        <w:pStyle w:val="Bullet1"/>
      </w:pPr>
      <w:r>
        <w:t>Participants have time to review and consider their options at any stage of service access and delivery.</w:t>
      </w:r>
    </w:p>
    <w:p w14:paraId="06184B99" w14:textId="77777777" w:rsidR="0056212F" w:rsidRPr="0081086B" w:rsidRDefault="0056212F" w:rsidP="0056212F">
      <w:pPr>
        <w:pStyle w:val="Bullet1"/>
      </w:pPr>
      <w:r>
        <w:t>Participants’ rights under Australian consumer law are upheld.</w:t>
      </w:r>
    </w:p>
    <w:p w14:paraId="6D18D856" w14:textId="77777777" w:rsidR="0056212F" w:rsidRPr="0081086B" w:rsidRDefault="0056212F" w:rsidP="0056212F">
      <w:pPr>
        <w:pStyle w:val="Bullet1"/>
      </w:pPr>
      <w:r>
        <w:t>C</w:t>
      </w:r>
      <w:r w:rsidRPr="0081086B">
        <w:t>onsent is obtained to collect and share personal information and the participant understands and agrees to the information they are agreeing to share and with whom</w:t>
      </w:r>
      <w:r>
        <w:t>.</w:t>
      </w:r>
    </w:p>
    <w:p w14:paraId="6D305E70" w14:textId="77777777" w:rsidR="0056212F" w:rsidRPr="0081086B" w:rsidRDefault="0056212F" w:rsidP="0056212F">
      <w:pPr>
        <w:pStyle w:val="Bullet1"/>
      </w:pPr>
      <w:r>
        <w:t>P</w:t>
      </w:r>
      <w:r w:rsidRPr="0081086B">
        <w:t>articipants are fully involved in designing the support plan they will have with us, including selecting their workers</w:t>
      </w:r>
      <w:r>
        <w:t>.</w:t>
      </w:r>
    </w:p>
    <w:p w14:paraId="73A3F0FC" w14:textId="77777777" w:rsidR="0056212F" w:rsidRPr="0081086B" w:rsidRDefault="0056212F" w:rsidP="0056212F">
      <w:pPr>
        <w:pStyle w:val="Bullet1"/>
      </w:pPr>
      <w:r>
        <w:t>P</w:t>
      </w:r>
      <w:r w:rsidRPr="0081086B">
        <w:t>articipants understand how they can exercise choice and control over the supports they receive from us</w:t>
      </w:r>
      <w:r>
        <w:t>, including being supported to connect with family, friends, culture and chosen community, as well as their right to intimacy and sexual expression.</w:t>
      </w:r>
    </w:p>
    <w:p w14:paraId="7360EEF3" w14:textId="77777777" w:rsidR="0056212F" w:rsidRPr="0081086B" w:rsidRDefault="0056212F" w:rsidP="0056212F">
      <w:pPr>
        <w:pStyle w:val="Bullet1"/>
      </w:pPr>
      <w:r>
        <w:t>P</w:t>
      </w:r>
      <w:r w:rsidRPr="0081086B">
        <w:t>articipants are supported to safely transition to another provider when they exit our services</w:t>
      </w:r>
      <w:r>
        <w:t>, including if temporarily.</w:t>
      </w:r>
    </w:p>
    <w:p w14:paraId="68BBE6C5" w14:textId="77777777" w:rsidR="0056212F" w:rsidRPr="0081086B" w:rsidRDefault="0056212F" w:rsidP="0056212F">
      <w:pPr>
        <w:pStyle w:val="Heading2"/>
      </w:pPr>
      <w:bookmarkStart w:id="2" w:name="_Toc77515467"/>
      <w:r>
        <w:t>SCOPE</w:t>
      </w:r>
    </w:p>
    <w:p w14:paraId="0B911592" w14:textId="77777777" w:rsidR="0056212F" w:rsidRPr="0081086B" w:rsidRDefault="0056212F" w:rsidP="0056212F">
      <w:pPr>
        <w:pStyle w:val="paragraph"/>
      </w:pPr>
      <w:r w:rsidRPr="0081086B">
        <w:t>This policy applies to all employees, contractors, students, and volunteers across all our services and locations.</w:t>
      </w:r>
    </w:p>
    <w:bookmarkEnd w:id="2"/>
    <w:p w14:paraId="57F53B22" w14:textId="77777777" w:rsidR="0056212F" w:rsidRPr="0081086B" w:rsidRDefault="0056212F" w:rsidP="0056212F">
      <w:pPr>
        <w:pStyle w:val="paragraph"/>
      </w:pPr>
      <w:r w:rsidRPr="0081086B">
        <w:t>This policy provides guidance on our:</w:t>
      </w:r>
    </w:p>
    <w:p w14:paraId="75EA70EC" w14:textId="77777777" w:rsidR="0056212F" w:rsidRPr="0081086B" w:rsidRDefault="0056212F" w:rsidP="0056212F">
      <w:pPr>
        <w:pStyle w:val="Bullet1"/>
      </w:pPr>
      <w:r>
        <w:t>I</w:t>
      </w:r>
      <w:r w:rsidRPr="0081086B">
        <w:t>ntake processes</w:t>
      </w:r>
      <w:r>
        <w:t>.</w:t>
      </w:r>
    </w:p>
    <w:p w14:paraId="3DFB0B51" w14:textId="77777777" w:rsidR="0056212F" w:rsidRPr="0081086B" w:rsidRDefault="0056212F" w:rsidP="0056212F">
      <w:pPr>
        <w:pStyle w:val="Bullet1"/>
      </w:pPr>
      <w:r>
        <w:t>S</w:t>
      </w:r>
      <w:r w:rsidRPr="0081086B">
        <w:t>upport planning</w:t>
      </w:r>
      <w:r>
        <w:t xml:space="preserve"> and risk management</w:t>
      </w:r>
      <w:r w:rsidRPr="0081086B">
        <w:t xml:space="preserve"> processes</w:t>
      </w:r>
      <w:r>
        <w:t>.</w:t>
      </w:r>
    </w:p>
    <w:p w14:paraId="62EDE662" w14:textId="77777777" w:rsidR="0056212F" w:rsidRPr="0081086B" w:rsidRDefault="0056212F" w:rsidP="0056212F">
      <w:pPr>
        <w:pStyle w:val="Bullet1"/>
      </w:pPr>
      <w:r>
        <w:t>Se</w:t>
      </w:r>
      <w:r w:rsidRPr="0081086B">
        <w:t>rvice agreements</w:t>
      </w:r>
      <w:r>
        <w:t>.</w:t>
      </w:r>
    </w:p>
    <w:p w14:paraId="5BAC3423" w14:textId="77777777" w:rsidR="0056212F" w:rsidRPr="0081086B" w:rsidRDefault="0056212F" w:rsidP="0056212F">
      <w:pPr>
        <w:pStyle w:val="Bullet1"/>
      </w:pPr>
      <w:r>
        <w:lastRenderedPageBreak/>
        <w:t>T</w:t>
      </w:r>
      <w:r w:rsidRPr="0081086B">
        <w:t>ransition planning processes.</w:t>
      </w:r>
    </w:p>
    <w:p w14:paraId="78590A30" w14:textId="77777777" w:rsidR="0056212F" w:rsidRPr="0081086B" w:rsidRDefault="0056212F" w:rsidP="0056212F">
      <w:pPr>
        <w:pStyle w:val="Heading2"/>
      </w:pPr>
      <w:bookmarkStart w:id="3" w:name="_Toc77515469"/>
      <w:r w:rsidRPr="0081086B">
        <w:t>PROCEDURES</w:t>
      </w:r>
      <w:bookmarkEnd w:id="3"/>
    </w:p>
    <w:p w14:paraId="0AE8CDB9" w14:textId="77777777" w:rsidR="0056212F" w:rsidRPr="0081086B" w:rsidRDefault="0056212F" w:rsidP="0056212F">
      <w:pPr>
        <w:pStyle w:val="Heading3"/>
      </w:pPr>
      <w:bookmarkStart w:id="4" w:name="_Toc77515470"/>
      <w:r w:rsidRPr="0081086B">
        <w:t>Initial point of contact</w:t>
      </w:r>
      <w:bookmarkEnd w:id="4"/>
      <w:r w:rsidRPr="0081086B">
        <w:t xml:space="preserve"> (usually via phone or email)</w:t>
      </w:r>
    </w:p>
    <w:p w14:paraId="2028F678" w14:textId="77777777" w:rsidR="0056212F" w:rsidRDefault="0056212F" w:rsidP="0056212F">
      <w:pPr>
        <w:pStyle w:val="paragraph"/>
      </w:pPr>
      <w:bookmarkStart w:id="5" w:name="_Toc77515471"/>
      <w:r>
        <w:t>The delegated staff member is to p</w:t>
      </w:r>
      <w:r w:rsidRPr="0081086B">
        <w:t>rovide a description of the services we offer, including costs and any entry criteria associated with access. Explain the process of how we safely support participants to transition to our service from another service. This includes identifying and putting in place a plan to address any risks to the participant that may be associated with the transition.</w:t>
      </w:r>
    </w:p>
    <w:p w14:paraId="5E841F47" w14:textId="77777777" w:rsidR="0056212F" w:rsidRDefault="0056212F" w:rsidP="0056212F">
      <w:pPr>
        <w:pStyle w:val="Heading3"/>
      </w:pPr>
      <w:r>
        <w:t>Waitlists</w:t>
      </w:r>
    </w:p>
    <w:p w14:paraId="0DB0BDCA" w14:textId="77777777" w:rsidR="0056212F" w:rsidRPr="0081086B" w:rsidRDefault="0056212F" w:rsidP="0056212F">
      <w:pPr>
        <w:pStyle w:val="paragraph"/>
      </w:pPr>
      <w:proofErr w:type="spellStart"/>
      <w:r>
        <w:t>Transpiral</w:t>
      </w:r>
      <w:proofErr w:type="spellEnd"/>
      <w:r>
        <w:t xml:space="preserve"> Wellbeing will avoid maintaining waitlists for services unless the participant specifically has requested our service and/or there are no other locally available services for the participant that can meet their needs. Waitlists are to be used as a last resort to avoid any delays in participants receiving services. Where possible if </w:t>
      </w:r>
      <w:proofErr w:type="spellStart"/>
      <w:r>
        <w:t>Transpiral</w:t>
      </w:r>
      <w:proofErr w:type="spellEnd"/>
      <w:r>
        <w:t xml:space="preserve"> Wellbeing is not able to commence services with a participant within four weeks of being approached, we will refer the participant to another recommended registered NDIS provider. </w:t>
      </w:r>
      <w:proofErr w:type="spellStart"/>
      <w:r>
        <w:t>Transpiral</w:t>
      </w:r>
      <w:proofErr w:type="spellEnd"/>
      <w:r>
        <w:t xml:space="preserve"> Wellbeing will maintain a list of trusted NDIS providers in the areas we operate. A waitlist of participants will be kept on the Business Registers and will be reviewed on a weekly basis.</w:t>
      </w:r>
    </w:p>
    <w:p w14:paraId="506D9D70" w14:textId="77777777" w:rsidR="0056212F" w:rsidRPr="0081086B" w:rsidRDefault="0056212F" w:rsidP="0056212F">
      <w:pPr>
        <w:pStyle w:val="Heading3"/>
      </w:pPr>
      <w:r w:rsidRPr="0081086B">
        <w:t>First meeting</w:t>
      </w:r>
      <w:bookmarkEnd w:id="5"/>
      <w:r w:rsidRPr="0081086B">
        <w:t xml:space="preserve"> </w:t>
      </w:r>
    </w:p>
    <w:p w14:paraId="183DAE3A" w14:textId="77777777" w:rsidR="0056212F" w:rsidRPr="0081086B" w:rsidRDefault="0056212F" w:rsidP="0056212F">
      <w:pPr>
        <w:pStyle w:val="paragraph"/>
      </w:pPr>
      <w:r w:rsidRPr="0081086B">
        <w:t>This meeting is to be in person, where possible.</w:t>
      </w:r>
    </w:p>
    <w:p w14:paraId="1151A710" w14:textId="77777777" w:rsidR="0056212F" w:rsidRPr="0081086B" w:rsidRDefault="0056212F" w:rsidP="0056212F">
      <w:pPr>
        <w:pStyle w:val="Bullet1"/>
      </w:pPr>
      <w:r w:rsidRPr="0081086B">
        <w:t xml:space="preserve">Provide the participant a copy of the </w:t>
      </w:r>
      <w:r w:rsidRPr="0081086B">
        <w:rPr>
          <w:i/>
          <w:iCs/>
        </w:rPr>
        <w:t>Participant Welcome Handbook</w:t>
      </w:r>
      <w:r w:rsidRPr="0081086B">
        <w:t xml:space="preserve"> and explain our policies and procedures. Provide an opportunity for the participant to ask questions and have anything clarified.</w:t>
      </w:r>
    </w:p>
    <w:p w14:paraId="0482C8F0" w14:textId="77777777" w:rsidR="0056212F" w:rsidRPr="0081086B" w:rsidRDefault="0056212F" w:rsidP="0056212F">
      <w:pPr>
        <w:pStyle w:val="Bullet1"/>
      </w:pPr>
      <w:r w:rsidRPr="0081086B">
        <w:t>Provide a copy of the service agreement templates and explain to the participant that they have time to consider their options</w:t>
      </w:r>
      <w:r>
        <w:t xml:space="preserve"> before signing the agreement</w:t>
      </w:r>
      <w:r w:rsidRPr="0081086B">
        <w:t>.</w:t>
      </w:r>
    </w:p>
    <w:p w14:paraId="2863548A" w14:textId="77777777" w:rsidR="0056212F" w:rsidRPr="0081086B" w:rsidRDefault="0056212F" w:rsidP="0056212F">
      <w:pPr>
        <w:pStyle w:val="paragraph"/>
      </w:pPr>
      <w:r w:rsidRPr="0081086B">
        <w:t>If the participant wants to proceed with the intake process:</w:t>
      </w:r>
    </w:p>
    <w:p w14:paraId="05AEF233" w14:textId="77777777" w:rsidR="0056212F" w:rsidRPr="0081086B" w:rsidRDefault="0056212F" w:rsidP="0056212F">
      <w:pPr>
        <w:pStyle w:val="Bullet1"/>
      </w:pPr>
      <w:r w:rsidRPr="0081086B">
        <w:t xml:space="preserve">Complete the </w:t>
      </w:r>
      <w:r>
        <w:rPr>
          <w:i/>
          <w:iCs/>
        </w:rPr>
        <w:t xml:space="preserve">Participant Information </w:t>
      </w:r>
      <w:r w:rsidRPr="0081086B">
        <w:t>Form to capture information about the person’s medical, health, mobility, communication and support needs and preferences.</w:t>
      </w:r>
    </w:p>
    <w:p w14:paraId="238E4D9E" w14:textId="77777777" w:rsidR="0056212F" w:rsidRPr="0081086B" w:rsidRDefault="0056212F" w:rsidP="0056212F">
      <w:pPr>
        <w:pStyle w:val="Heading3"/>
      </w:pPr>
      <w:bookmarkStart w:id="6" w:name="_Toc77515472"/>
      <w:r w:rsidRPr="0081086B">
        <w:t>Service agreement procedure</w:t>
      </w:r>
      <w:bookmarkEnd w:id="6"/>
    </w:p>
    <w:p w14:paraId="25447DFE" w14:textId="77777777" w:rsidR="0056212F" w:rsidRPr="0081086B" w:rsidRDefault="0056212F" w:rsidP="0056212F">
      <w:pPr>
        <w:pStyle w:val="paragraph"/>
      </w:pPr>
      <w:r w:rsidRPr="0081086B">
        <w:t>If the participant wants to proceed to develop a service agreement with us:</w:t>
      </w:r>
    </w:p>
    <w:p w14:paraId="4FA239B6" w14:textId="77777777" w:rsidR="0056212F" w:rsidRPr="00C6798A" w:rsidRDefault="0056212F" w:rsidP="0056212F">
      <w:pPr>
        <w:pStyle w:val="Bullet1"/>
      </w:pPr>
      <w:r w:rsidRPr="0081086B">
        <w:t xml:space="preserve">Collaborate with the participant, and their representative to develop a service agreement which establishes expectations, explains the supports to be delivered, </w:t>
      </w:r>
      <w:r w:rsidRPr="0081086B">
        <w:lastRenderedPageBreak/>
        <w:t xml:space="preserve">and </w:t>
      </w:r>
      <w:r w:rsidRPr="00C6798A">
        <w:t xml:space="preserve">specifies any conditions attached to the delivery of supports, including why these conditions are attached – refer </w:t>
      </w:r>
      <w:r w:rsidRPr="00C6798A">
        <w:rPr>
          <w:i/>
          <w:iCs/>
        </w:rPr>
        <w:t>Service Agreement</w:t>
      </w:r>
      <w:r w:rsidRPr="00C6798A">
        <w:t xml:space="preserve"> template.</w:t>
      </w:r>
    </w:p>
    <w:p w14:paraId="1D8CDD0D" w14:textId="77777777" w:rsidR="0056212F" w:rsidRPr="00C6798A" w:rsidRDefault="0056212F" w:rsidP="0056212F">
      <w:pPr>
        <w:pStyle w:val="Bullet1"/>
      </w:pPr>
      <w:r w:rsidRPr="00C6798A">
        <w:t xml:space="preserve">If the participant is choosing to receive direct supports </w:t>
      </w:r>
      <w:r w:rsidRPr="00C6798A">
        <w:rPr>
          <w:b/>
          <w:bCs/>
        </w:rPr>
        <w:t>and</w:t>
      </w:r>
      <w:r w:rsidRPr="00C6798A">
        <w:t xml:space="preserve"> coordination of supports, then a separate service agreement must be made for support coordination.</w:t>
      </w:r>
    </w:p>
    <w:p w14:paraId="4008FEB5" w14:textId="77777777" w:rsidR="0056212F" w:rsidRPr="0081086B" w:rsidRDefault="0056212F" w:rsidP="0056212F">
      <w:pPr>
        <w:pStyle w:val="Bullet1"/>
      </w:pPr>
      <w:r w:rsidRPr="0081086B">
        <w:t>Support participants to understand their service agreement and conditions of service using the language, mode of communication and terms that the participant is most likely to understand. Ensure an interpreter is arranged if the participant requests it.</w:t>
      </w:r>
    </w:p>
    <w:p w14:paraId="34204E6E" w14:textId="77777777" w:rsidR="0056212F" w:rsidRPr="0081086B" w:rsidRDefault="0056212F" w:rsidP="0056212F">
      <w:pPr>
        <w:pStyle w:val="Bullet1"/>
      </w:pPr>
      <w:r w:rsidRPr="0081086B">
        <w:t xml:space="preserve">Agree on the arrangements for providing supports to be put in place in the event of an emergency or disaster and document this </w:t>
      </w:r>
      <w:r>
        <w:t>in</w:t>
      </w:r>
      <w:r w:rsidRPr="0081086B">
        <w:t xml:space="preserve"> the service agreement.</w:t>
      </w:r>
    </w:p>
    <w:p w14:paraId="566DA248" w14:textId="77777777" w:rsidR="0056212F" w:rsidRPr="0081086B" w:rsidRDefault="0056212F" w:rsidP="0056212F">
      <w:pPr>
        <w:pStyle w:val="Bullet1"/>
      </w:pPr>
      <w:r w:rsidRPr="0081086B">
        <w:t xml:space="preserve">Ask the participant to complete and sign the </w:t>
      </w:r>
      <w:r w:rsidRPr="0081086B">
        <w:rPr>
          <w:i/>
          <w:iCs/>
        </w:rPr>
        <w:t>Consent Form</w:t>
      </w:r>
      <w:r w:rsidRPr="0081086B">
        <w:t>.</w:t>
      </w:r>
    </w:p>
    <w:p w14:paraId="46F79992" w14:textId="77777777" w:rsidR="0056212F" w:rsidRPr="0081086B" w:rsidRDefault="0056212F" w:rsidP="0056212F">
      <w:pPr>
        <w:pStyle w:val="Bullet1"/>
      </w:pPr>
      <w:r w:rsidRPr="0081086B">
        <w:t xml:space="preserve">Forward the participant a copy of the service agreement signed by both parties and keep a copy in the participant’s file. Where this is not practicable, or the </w:t>
      </w:r>
      <w:r>
        <w:t>participant</w:t>
      </w:r>
      <w:r w:rsidRPr="0081086B">
        <w:t xml:space="preserve"> chooses not to have an agreement, a record is made in the participant’s file of the circumstances under which the </w:t>
      </w:r>
      <w:r>
        <w:t>participant</w:t>
      </w:r>
      <w:r w:rsidRPr="0081086B">
        <w:t xml:space="preserve"> did not receive a copy of their agreement.</w:t>
      </w:r>
    </w:p>
    <w:p w14:paraId="23CB41B8" w14:textId="77777777" w:rsidR="0056212F" w:rsidRPr="0081086B" w:rsidRDefault="0056212F" w:rsidP="0056212F">
      <w:pPr>
        <w:pStyle w:val="Bullet1"/>
      </w:pPr>
      <w:r w:rsidRPr="0081086B">
        <w:t>Place a copy of the signed consent form on the participant’s file.</w:t>
      </w:r>
    </w:p>
    <w:p w14:paraId="47A4F4DA" w14:textId="77777777" w:rsidR="0056212F" w:rsidRPr="0081086B" w:rsidRDefault="0056212F" w:rsidP="0056212F">
      <w:pPr>
        <w:pStyle w:val="Heading3"/>
      </w:pPr>
      <w:bookmarkStart w:id="7" w:name="_Toc77515473"/>
      <w:r w:rsidRPr="0081086B">
        <w:t xml:space="preserve">Support planning </w:t>
      </w:r>
      <w:bookmarkEnd w:id="7"/>
    </w:p>
    <w:p w14:paraId="1E523433" w14:textId="77777777" w:rsidR="0056212F" w:rsidRPr="0081086B" w:rsidRDefault="0056212F" w:rsidP="0056212F">
      <w:pPr>
        <w:pStyle w:val="paragraph"/>
      </w:pPr>
      <w:r w:rsidRPr="0081086B">
        <w:t xml:space="preserve">It is important to remember that not all participants will want an extensive support plan. The minimum requirements for the development of a support plan with </w:t>
      </w:r>
      <w:proofErr w:type="spellStart"/>
      <w:r>
        <w:t>Transpiral</w:t>
      </w:r>
      <w:proofErr w:type="spellEnd"/>
      <w:r>
        <w:t xml:space="preserve"> Wellbeing</w:t>
      </w:r>
      <w:r w:rsidRPr="0081086B">
        <w:t xml:space="preserve"> are:</w:t>
      </w:r>
    </w:p>
    <w:p w14:paraId="52A95CAC" w14:textId="77777777" w:rsidR="0056212F" w:rsidRPr="0081086B" w:rsidRDefault="0056212F" w:rsidP="0056212F">
      <w:pPr>
        <w:pStyle w:val="Bullet1"/>
      </w:pPr>
      <w:r w:rsidRPr="0081086B">
        <w:t>Identification of goals, needs and preferences relating to the supports requested by the participant</w:t>
      </w:r>
      <w:r>
        <w:t>, including worker preferences.</w:t>
      </w:r>
    </w:p>
    <w:p w14:paraId="46550BA6" w14:textId="77777777" w:rsidR="0056212F" w:rsidRPr="0081086B" w:rsidRDefault="0056212F" w:rsidP="0056212F">
      <w:pPr>
        <w:pStyle w:val="Bullet1"/>
      </w:pPr>
      <w:r w:rsidRPr="0081086B">
        <w:t>A risk assessment appropriate to the services delivered by us</w:t>
      </w:r>
      <w:r>
        <w:t xml:space="preserve"> using the Safety Plan template.</w:t>
      </w:r>
    </w:p>
    <w:p w14:paraId="47ACBEFD" w14:textId="77777777" w:rsidR="0056212F" w:rsidRDefault="0056212F" w:rsidP="0056212F">
      <w:pPr>
        <w:pStyle w:val="Bullet1"/>
      </w:pPr>
      <w:r w:rsidRPr="0081086B">
        <w:t>Details of any medical or healthcare needs and associated support plans e.g., mealtime management, diabetes management etc.</w:t>
      </w:r>
      <w:r>
        <w:t xml:space="preserve"> relevant to the services provided by us to the participant.</w:t>
      </w:r>
    </w:p>
    <w:p w14:paraId="4927C807" w14:textId="77777777" w:rsidR="0056212F" w:rsidRPr="0081086B" w:rsidRDefault="0056212F" w:rsidP="0056212F">
      <w:pPr>
        <w:pStyle w:val="Bullet1"/>
      </w:pPr>
      <w:r>
        <w:t>Details of any emergency or health-related escalation protocols.</w:t>
      </w:r>
    </w:p>
    <w:p w14:paraId="16317F66" w14:textId="77777777" w:rsidR="0056212F" w:rsidRPr="0081086B" w:rsidRDefault="0056212F" w:rsidP="0056212F">
      <w:pPr>
        <w:pStyle w:val="Bullet1"/>
      </w:pPr>
      <w:r w:rsidRPr="0081086B">
        <w:t xml:space="preserve">A daily or weekly schedule or routine of supports required from us so that we can allocate and roster </w:t>
      </w:r>
      <w:r>
        <w:t>staff</w:t>
      </w:r>
      <w:r w:rsidRPr="0081086B">
        <w:t xml:space="preserve"> accordingly. </w:t>
      </w:r>
    </w:p>
    <w:p w14:paraId="03F13124" w14:textId="77777777" w:rsidR="0056212F" w:rsidRDefault="0056212F" w:rsidP="0056212F">
      <w:pPr>
        <w:pStyle w:val="Heading3"/>
      </w:pPr>
      <w:r>
        <w:lastRenderedPageBreak/>
        <w:t>Person-centred support planning</w:t>
      </w:r>
    </w:p>
    <w:p w14:paraId="56F6F7AF" w14:textId="77777777" w:rsidR="0056212F" w:rsidRPr="007A2C54" w:rsidRDefault="0056212F" w:rsidP="0056212F">
      <w:pPr>
        <w:pStyle w:val="paragraph"/>
      </w:pPr>
      <w:r w:rsidRPr="007A2C54">
        <w:t xml:space="preserve">The </w:t>
      </w:r>
      <w:r>
        <w:t xml:space="preserve">support </w:t>
      </w:r>
      <w:r w:rsidRPr="007A2C54">
        <w:t xml:space="preserve">plan is an agreement between the participant and </w:t>
      </w:r>
      <w:proofErr w:type="spellStart"/>
      <w:r>
        <w:t>Transpiral</w:t>
      </w:r>
      <w:proofErr w:type="spellEnd"/>
      <w:r>
        <w:t xml:space="preserve"> Wellbeing which</w:t>
      </w:r>
      <w:r w:rsidRPr="007A2C54">
        <w:t xml:space="preserve"> tells us how to provide them with the support they need. A staff member will be allocated as the </w:t>
      </w:r>
      <w:r>
        <w:t xml:space="preserve">primary </w:t>
      </w:r>
      <w:r w:rsidRPr="007A2C54">
        <w:t xml:space="preserve">keyworker for the participant. The </w:t>
      </w:r>
      <w:r>
        <w:t>allocated staff member</w:t>
      </w:r>
      <w:r w:rsidRPr="007A2C54">
        <w:t xml:space="preserve"> will collaborate with the participant and their informal network to prepare for </w:t>
      </w:r>
      <w:r>
        <w:t>the support</w:t>
      </w:r>
      <w:r w:rsidRPr="007A2C54">
        <w:t xml:space="preserve"> planning meeting where all parties will discuss the participant’s needs and goals.</w:t>
      </w:r>
      <w:r>
        <w:t xml:space="preserve"> Ideally, goals should be SMART goals.</w:t>
      </w:r>
    </w:p>
    <w:p w14:paraId="5B88EAF6" w14:textId="77777777" w:rsidR="0056212F" w:rsidRPr="007A2C54" w:rsidRDefault="0056212F" w:rsidP="0056212F">
      <w:pPr>
        <w:pStyle w:val="paragraph"/>
      </w:pPr>
      <w:r w:rsidRPr="007A2C54">
        <w:t>A SMART goal is a decision about where you want to be that is:</w:t>
      </w:r>
    </w:p>
    <w:p w14:paraId="2EAAB8E8" w14:textId="77777777" w:rsidR="0056212F" w:rsidRPr="00D96DAE" w:rsidRDefault="0056212F" w:rsidP="0056212F">
      <w:pPr>
        <w:pStyle w:val="Bullet1"/>
      </w:pPr>
      <w:r w:rsidRPr="00D96DAE">
        <w:t>Specific</w:t>
      </w:r>
      <w:r>
        <w:t>.</w:t>
      </w:r>
    </w:p>
    <w:p w14:paraId="66847871" w14:textId="77777777" w:rsidR="0056212F" w:rsidRPr="00D96DAE" w:rsidRDefault="0056212F" w:rsidP="0056212F">
      <w:pPr>
        <w:pStyle w:val="Bullet1"/>
      </w:pPr>
      <w:r w:rsidRPr="00D96DAE">
        <w:t>Measurable</w:t>
      </w:r>
      <w:r>
        <w:t>.</w:t>
      </w:r>
    </w:p>
    <w:p w14:paraId="030D70EE" w14:textId="77777777" w:rsidR="0056212F" w:rsidRPr="00D96DAE" w:rsidRDefault="0056212F" w:rsidP="0056212F">
      <w:pPr>
        <w:pStyle w:val="Bullet1"/>
      </w:pPr>
      <w:r w:rsidRPr="00D96DAE">
        <w:t>Attainable</w:t>
      </w:r>
    </w:p>
    <w:p w14:paraId="35B200D3" w14:textId="77777777" w:rsidR="0056212F" w:rsidRPr="00D96DAE" w:rsidRDefault="0056212F" w:rsidP="0056212F">
      <w:pPr>
        <w:pStyle w:val="Bullet1"/>
      </w:pPr>
      <w:r w:rsidRPr="00D96DAE">
        <w:t>Relevant</w:t>
      </w:r>
      <w:r>
        <w:t>.</w:t>
      </w:r>
    </w:p>
    <w:p w14:paraId="08D6787F" w14:textId="77777777" w:rsidR="0056212F" w:rsidRPr="00D96DAE" w:rsidRDefault="0056212F" w:rsidP="0056212F">
      <w:pPr>
        <w:pStyle w:val="Bullet1"/>
      </w:pPr>
      <w:r w:rsidRPr="00D96DAE">
        <w:t>Timebound</w:t>
      </w:r>
      <w:r>
        <w:t>.</w:t>
      </w:r>
    </w:p>
    <w:p w14:paraId="26D96273" w14:textId="77777777" w:rsidR="0056212F" w:rsidRDefault="0056212F" w:rsidP="0056212F">
      <w:pPr>
        <w:pStyle w:val="paragraph"/>
      </w:pPr>
      <w:r w:rsidRPr="007A2C54">
        <w:t xml:space="preserve">The participant may not be able to achieve the goal in that year but there can be strategies implemented to work towards that goal. </w:t>
      </w:r>
    </w:p>
    <w:p w14:paraId="7CA2A619" w14:textId="77777777" w:rsidR="0056212F" w:rsidRPr="00737460" w:rsidRDefault="0056212F" w:rsidP="0056212F">
      <w:pPr>
        <w:pStyle w:val="paragraph"/>
      </w:pPr>
      <w:r w:rsidRPr="00737460">
        <w:t xml:space="preserve">A strategy is a process </w:t>
      </w:r>
      <w:r>
        <w:t>that helps</w:t>
      </w:r>
      <w:r w:rsidRPr="00737460">
        <w:t xml:space="preserve"> the participant closer to achieving a goal. An example may be:</w:t>
      </w:r>
    </w:p>
    <w:p w14:paraId="06CB0280" w14:textId="77777777" w:rsidR="0056212F" w:rsidRPr="00D96DAE" w:rsidRDefault="0056212F" w:rsidP="0056212F">
      <w:pPr>
        <w:pStyle w:val="Bullet1"/>
      </w:pPr>
      <w:r w:rsidRPr="00D96DAE">
        <w:t>Goal: to have two more friends in the next two years</w:t>
      </w:r>
      <w:r>
        <w:t>.</w:t>
      </w:r>
    </w:p>
    <w:p w14:paraId="352B8DE4" w14:textId="77777777" w:rsidR="0056212F" w:rsidRPr="007A2C54" w:rsidRDefault="0056212F" w:rsidP="0056212F">
      <w:pPr>
        <w:pStyle w:val="Bullet1"/>
      </w:pPr>
      <w:r w:rsidRPr="00D96DAE">
        <w:t>One strategy: To attend a social club regularly and invite someone to visit home for meals from that group.</w:t>
      </w:r>
    </w:p>
    <w:p w14:paraId="62EF2FCE" w14:textId="77777777" w:rsidR="0056212F" w:rsidRPr="007A2C54" w:rsidRDefault="0056212F" w:rsidP="0056212F">
      <w:pPr>
        <w:pStyle w:val="paragraph"/>
      </w:pPr>
      <w:r>
        <w:t>Support planning meetings should include the</w:t>
      </w:r>
      <w:r w:rsidRPr="007A2C54">
        <w:t xml:space="preserve"> informal network of the participant</w:t>
      </w:r>
      <w:r>
        <w:t>. Informal networks can</w:t>
      </w:r>
      <w:r w:rsidRPr="007A2C54">
        <w:t xml:space="preserve"> include close family members, friends, work colleagues or people they know well in the community. The participant will decide who to involve. If they are unable to choose, their key decision maker may make that decision.</w:t>
      </w:r>
      <w:r>
        <w:t xml:space="preserve"> Remember that c</w:t>
      </w:r>
      <w:r w:rsidRPr="007A2C54">
        <w:t xml:space="preserve">ommunication with each participant must be provided in the language, mode of communication and terms that the participant is most likely to understand. </w:t>
      </w:r>
    </w:p>
    <w:p w14:paraId="0D09D2B9" w14:textId="77777777" w:rsidR="0056212F" w:rsidRPr="007A2C54" w:rsidRDefault="0056212F" w:rsidP="0056212F">
      <w:pPr>
        <w:pStyle w:val="Heading3"/>
      </w:pPr>
      <w:r w:rsidRPr="007A2C54">
        <w:t>What is person centred?</w:t>
      </w:r>
    </w:p>
    <w:p w14:paraId="4CE5B15D" w14:textId="77777777" w:rsidR="0056212F" w:rsidRPr="007A2C54" w:rsidRDefault="0056212F" w:rsidP="0056212F">
      <w:pPr>
        <w:pStyle w:val="paragraph"/>
      </w:pPr>
      <w:r w:rsidRPr="007A2C54">
        <w:t xml:space="preserve">The person is at the centre of decision making. We do not provide services </w:t>
      </w:r>
      <w:r w:rsidRPr="00DD2A57">
        <w:rPr>
          <w:u w:val="single"/>
        </w:rPr>
        <w:t>to</w:t>
      </w:r>
      <w:r w:rsidRPr="007A2C54">
        <w:t xml:space="preserve"> participants; we </w:t>
      </w:r>
      <w:r>
        <w:t xml:space="preserve">provide </w:t>
      </w:r>
      <w:r w:rsidRPr="007A2C54">
        <w:t xml:space="preserve">services </w:t>
      </w:r>
      <w:r w:rsidRPr="00DD2A57">
        <w:rPr>
          <w:u w:val="single"/>
        </w:rPr>
        <w:t>with</w:t>
      </w:r>
      <w:r w:rsidRPr="007A2C54">
        <w:t xml:space="preserve"> them. What that means for </w:t>
      </w:r>
      <w:r>
        <w:t xml:space="preserve">a support </w:t>
      </w:r>
      <w:r w:rsidRPr="007A2C54">
        <w:t xml:space="preserve">plan is that we make sure we include in the plan </w:t>
      </w:r>
      <w:r>
        <w:t>details on</w:t>
      </w:r>
      <w:r w:rsidRPr="007A2C54">
        <w:t xml:space="preserve"> is </w:t>
      </w:r>
      <w:r w:rsidRPr="007A2C54">
        <w:rPr>
          <w:b/>
          <w:bCs/>
        </w:rPr>
        <w:t>important TO</w:t>
      </w:r>
      <w:r w:rsidRPr="007A2C54">
        <w:t xml:space="preserve"> the participant and what is </w:t>
      </w:r>
      <w:r w:rsidRPr="007A2C54">
        <w:rPr>
          <w:b/>
          <w:bCs/>
        </w:rPr>
        <w:t>important FOR</w:t>
      </w:r>
      <w:r w:rsidRPr="007A2C54">
        <w:t xml:space="preserve"> the participant.</w:t>
      </w:r>
      <w:r>
        <w:t xml:space="preserve"> For example:</w:t>
      </w:r>
    </w:p>
    <w:p w14:paraId="22D2126E" w14:textId="77777777" w:rsidR="0056212F" w:rsidRPr="007A2C54" w:rsidRDefault="0056212F" w:rsidP="0056212F">
      <w:pPr>
        <w:pStyle w:val="paragraph"/>
      </w:pPr>
      <w:r w:rsidRPr="007A2C54">
        <w:rPr>
          <w:b/>
          <w:bCs/>
        </w:rPr>
        <w:lastRenderedPageBreak/>
        <w:t>Important TO</w:t>
      </w:r>
      <w:r w:rsidRPr="007A2C54">
        <w:t xml:space="preserve">: Things or actions that make the person feel good or special. Examples may be watching </w:t>
      </w:r>
      <w:r>
        <w:t>spending time with their family, engaging in cultural and religious events,</w:t>
      </w:r>
      <w:r w:rsidRPr="007A2C54">
        <w:t xml:space="preserve"> sports car racing, horse riding or cooking</w:t>
      </w:r>
      <w:r>
        <w:t xml:space="preserve"> etc.</w:t>
      </w:r>
    </w:p>
    <w:p w14:paraId="7019D109" w14:textId="77777777" w:rsidR="0056212F" w:rsidRPr="007A2C54" w:rsidRDefault="0056212F" w:rsidP="0056212F">
      <w:pPr>
        <w:pStyle w:val="paragraph"/>
      </w:pPr>
      <w:r w:rsidRPr="007A2C54">
        <w:rPr>
          <w:b/>
          <w:bCs/>
        </w:rPr>
        <w:t>Important FOR:</w:t>
      </w:r>
      <w:r w:rsidRPr="007A2C54">
        <w:t xml:space="preserve"> Things the person may not care</w:t>
      </w:r>
      <w:r>
        <w:t xml:space="preserve"> so much</w:t>
      </w:r>
      <w:r w:rsidRPr="007A2C54">
        <w:t xml:space="preserve"> about but are essential for their wellbeing. Examples </w:t>
      </w:r>
      <w:r>
        <w:t>can include</w:t>
      </w:r>
      <w:r w:rsidRPr="007A2C54">
        <w:t xml:space="preserve"> exercise, diet</w:t>
      </w:r>
      <w:r>
        <w:t>, oral health,</w:t>
      </w:r>
      <w:r w:rsidRPr="007A2C54">
        <w:t xml:space="preserve"> or positive behaviour support.</w:t>
      </w:r>
    </w:p>
    <w:p w14:paraId="297546A0" w14:textId="77777777" w:rsidR="0056212F" w:rsidRPr="007A2C54" w:rsidRDefault="0056212F" w:rsidP="0056212F">
      <w:pPr>
        <w:pStyle w:val="paragraph"/>
      </w:pPr>
      <w:r w:rsidRPr="007A2C54">
        <w:t xml:space="preserve">Helen Sanderson Associates has person-centred tools available at </w:t>
      </w:r>
      <w:hyperlink r:id="rId11" w:history="1">
        <w:r w:rsidRPr="007A2C54">
          <w:rPr>
            <w:rStyle w:val="Hyperlink"/>
          </w:rPr>
          <w:t>http://helensandersonassociates.co.uk/au/</w:t>
        </w:r>
      </w:hyperlink>
      <w:r w:rsidRPr="007A2C54">
        <w:t xml:space="preserve"> to use when working with people </w:t>
      </w:r>
      <w:r>
        <w:t>who may have a</w:t>
      </w:r>
      <w:r w:rsidRPr="007A2C54">
        <w:t xml:space="preserve"> </w:t>
      </w:r>
      <w:r>
        <w:t>cognitive impairment</w:t>
      </w:r>
      <w:r w:rsidRPr="007A2C54">
        <w:t xml:space="preserve">. The tools help get to the core of issues troubling a participant or help people develop plans. These tools are free to use. </w:t>
      </w:r>
    </w:p>
    <w:p w14:paraId="13232173" w14:textId="77777777" w:rsidR="0056212F" w:rsidRPr="0081086B" w:rsidRDefault="0056212F" w:rsidP="0056212F">
      <w:pPr>
        <w:pStyle w:val="Boldheading"/>
      </w:pPr>
      <w:r w:rsidRPr="0081086B">
        <w:t>Procedure</w:t>
      </w:r>
    </w:p>
    <w:p w14:paraId="45C6EA88" w14:textId="77777777" w:rsidR="0056212F" w:rsidRPr="0081086B" w:rsidRDefault="0056212F" w:rsidP="0056212F">
      <w:pPr>
        <w:pStyle w:val="Bullet1"/>
      </w:pPr>
      <w:r w:rsidRPr="0081086B">
        <w:t xml:space="preserve">The allocated staff member will collaborate with participants to develop a support plan based on their preferences, needs and goals using </w:t>
      </w:r>
      <w:r>
        <w:t>a support planning</w:t>
      </w:r>
      <w:r w:rsidRPr="0081086B">
        <w:t xml:space="preserve"> template. </w:t>
      </w:r>
    </w:p>
    <w:p w14:paraId="7B202E42" w14:textId="77777777" w:rsidR="0056212F" w:rsidRPr="0081086B" w:rsidRDefault="0056212F" w:rsidP="0056212F">
      <w:pPr>
        <w:pStyle w:val="Bullet1"/>
      </w:pPr>
      <w:r w:rsidRPr="0081086B">
        <w:t>Review timeframes will be discussed with the participant at this meeting to determine the required frequency relevant and proportionate to risks, the participant’s functionality, and the participant’s wishes. Note that support plans must be completed at least annually.</w:t>
      </w:r>
    </w:p>
    <w:p w14:paraId="1C9B856D" w14:textId="77777777" w:rsidR="0056212F" w:rsidRPr="0081086B" w:rsidRDefault="0056212F" w:rsidP="0056212F">
      <w:pPr>
        <w:pStyle w:val="Bullet1"/>
      </w:pPr>
      <w:r w:rsidRPr="0081086B">
        <w:t>Provide the participant with a copy of the support plan and place a copy in the participant’s file. Where a participant chooses not to have a documented support plan, a note must be made in the participant’s file. Staff members must be satisfied that the participant understands and has agreed to the supports being provided in accordance with their expressed preferences and goals.</w:t>
      </w:r>
    </w:p>
    <w:p w14:paraId="155A6C5C" w14:textId="77777777" w:rsidR="0056212F" w:rsidRPr="0081086B" w:rsidRDefault="0056212F" w:rsidP="0056212F">
      <w:pPr>
        <w:pStyle w:val="Bullet1"/>
      </w:pPr>
      <w:r w:rsidRPr="0081086B">
        <w:t xml:space="preserve">All staff will ensure that the identified supports are provided based on the least intrusive options, in accordance with contemporary evidence-informed practices that meet </w:t>
      </w:r>
      <w:r>
        <w:t>participant</w:t>
      </w:r>
      <w:r w:rsidRPr="0081086B">
        <w:t xml:space="preserve"> needs and help achieve desired outcomes. Refer to our </w:t>
      </w:r>
      <w:r w:rsidRPr="0081086B">
        <w:rPr>
          <w:i/>
          <w:iCs/>
        </w:rPr>
        <w:t>‘Model of Support’</w:t>
      </w:r>
      <w:r w:rsidRPr="0081086B">
        <w:t xml:space="preserve"> booklet for information and ideas on contemporary and innovative support options.</w:t>
      </w:r>
    </w:p>
    <w:p w14:paraId="48FBBD05" w14:textId="77777777" w:rsidR="0056212F" w:rsidRPr="0081086B" w:rsidRDefault="0056212F" w:rsidP="0056212F">
      <w:pPr>
        <w:pStyle w:val="Bullet1"/>
      </w:pPr>
      <w:r w:rsidRPr="0081086B">
        <w:t>Collaborate with the participant to identify, analyse, and treat any risks to the participant associated with the provision of their supports</w:t>
      </w:r>
      <w:r>
        <w:t xml:space="preserve"> using the </w:t>
      </w:r>
      <w:r w:rsidRPr="009B36D7">
        <w:rPr>
          <w:i/>
          <w:iCs/>
        </w:rPr>
        <w:t>Safety Plan</w:t>
      </w:r>
      <w:r w:rsidRPr="0081086B">
        <w:t xml:space="preserve"> and document these in the participant’s support plan.</w:t>
      </w:r>
    </w:p>
    <w:p w14:paraId="7C8F3A1C" w14:textId="77777777" w:rsidR="0056212F" w:rsidRPr="007A2C54" w:rsidRDefault="0056212F" w:rsidP="0056212F">
      <w:pPr>
        <w:pStyle w:val="Heading3"/>
        <w:rPr>
          <w:rStyle w:val="PageNumber"/>
        </w:rPr>
      </w:pPr>
      <w:bookmarkStart w:id="8" w:name="_Toc77515474"/>
      <w:r w:rsidRPr="007A2C54">
        <w:rPr>
          <w:rStyle w:val="PageNumber"/>
        </w:rPr>
        <w:t xml:space="preserve">Planning for a </w:t>
      </w:r>
      <w:r>
        <w:rPr>
          <w:rStyle w:val="PageNumber"/>
        </w:rPr>
        <w:t xml:space="preserve">support planning </w:t>
      </w:r>
      <w:r w:rsidRPr="007A2C54">
        <w:rPr>
          <w:rStyle w:val="PageNumber"/>
        </w:rPr>
        <w:t>meeting</w:t>
      </w:r>
    </w:p>
    <w:p w14:paraId="1DB54773" w14:textId="77777777" w:rsidR="0056212F" w:rsidRPr="007A2C54" w:rsidRDefault="0056212F" w:rsidP="0056212F">
      <w:pPr>
        <w:pStyle w:val="paragraph"/>
      </w:pPr>
      <w:r w:rsidRPr="007A2C54">
        <w:t xml:space="preserve">Preparatory information may include a summary of the recommendations from assessment reports or other information such as healthcare reports. The summary can be tabled at the support planning meeting. Information about the person’s history as well as the initial </w:t>
      </w:r>
      <w:r w:rsidRPr="007A2C54">
        <w:lastRenderedPageBreak/>
        <w:t xml:space="preserve">information given by the participant </w:t>
      </w:r>
      <w:r>
        <w:t xml:space="preserve">on the </w:t>
      </w:r>
      <w:r w:rsidRPr="00A40ACF">
        <w:rPr>
          <w:i/>
          <w:iCs/>
        </w:rPr>
        <w:t>Participant Information Form</w:t>
      </w:r>
      <w:r w:rsidRPr="007A2C54">
        <w:t xml:space="preserve"> is also preparatory information.</w:t>
      </w:r>
    </w:p>
    <w:p w14:paraId="4E82C33E" w14:textId="77777777" w:rsidR="0056212F" w:rsidRPr="007A2C54" w:rsidRDefault="0056212F" w:rsidP="0056212F">
      <w:pPr>
        <w:pStyle w:val="paragraph"/>
      </w:pPr>
      <w:r w:rsidRPr="007A2C54">
        <w:t>When preparatory information is gathered and the participant has been engaged in thinking about</w:t>
      </w:r>
      <w:r>
        <w:t xml:space="preserve"> strategies to meet</w:t>
      </w:r>
      <w:r w:rsidRPr="007A2C54">
        <w:t xml:space="preserve"> their </w:t>
      </w:r>
      <w:r>
        <w:t>goals</w:t>
      </w:r>
      <w:r w:rsidRPr="007A2C54">
        <w:t>, a meeting can be planned</w:t>
      </w:r>
      <w:r>
        <w:t xml:space="preserve"> with the participant. </w:t>
      </w:r>
      <w:r w:rsidRPr="007A2C54">
        <w:t>On the day of the support planning meeting, copies of relevant documents will be made for meeting participants. Wherever possible the participant will host the meeting</w:t>
      </w:r>
      <w:r>
        <w:t>.</w:t>
      </w:r>
    </w:p>
    <w:p w14:paraId="098911C5" w14:textId="77777777" w:rsidR="0056212F" w:rsidRPr="007A2C54" w:rsidRDefault="0056212F" w:rsidP="0056212F">
      <w:pPr>
        <w:pStyle w:val="Heading3"/>
      </w:pPr>
      <w:r w:rsidRPr="007A2C54">
        <w:t>Implementing strategies</w:t>
      </w:r>
    </w:p>
    <w:p w14:paraId="6A7B69C9" w14:textId="77777777" w:rsidR="0056212F" w:rsidRPr="007A2C54" w:rsidRDefault="0056212F" w:rsidP="0056212F">
      <w:pPr>
        <w:pStyle w:val="paragraph"/>
      </w:pPr>
      <w:r w:rsidRPr="007A2C54">
        <w:t>The key worker will brief all staff about the strategies that were agreed at the meeting. The manager will ensure rosters and support schedules are adjusted to facilitate implementation. Data will be collected about all strategies being implemented</w:t>
      </w:r>
      <w:r>
        <w:t xml:space="preserve"> – see documenting progress below</w:t>
      </w:r>
      <w:r w:rsidRPr="007A2C54">
        <w:t>.</w:t>
      </w:r>
    </w:p>
    <w:p w14:paraId="1B963F34" w14:textId="77777777" w:rsidR="0056212F" w:rsidRPr="007A2C54" w:rsidRDefault="0056212F" w:rsidP="0056212F">
      <w:pPr>
        <w:pStyle w:val="paragraph"/>
      </w:pPr>
      <w:r w:rsidRPr="007A2C54">
        <w:t xml:space="preserve">Managers will monitor strategy implementation and </w:t>
      </w:r>
      <w:r>
        <w:t>hold discussions with</w:t>
      </w:r>
      <w:r w:rsidRPr="007A2C54">
        <w:t xml:space="preserve"> staff </w:t>
      </w:r>
      <w:r>
        <w:t xml:space="preserve">as part of supervision sessions </w:t>
      </w:r>
      <w:r w:rsidRPr="007A2C54">
        <w:t xml:space="preserve">about any barriers </w:t>
      </w:r>
      <w:r>
        <w:t xml:space="preserve">being </w:t>
      </w:r>
      <w:r w:rsidRPr="007A2C54">
        <w:t>experienced. If implementation</w:t>
      </w:r>
      <w:r>
        <w:t xml:space="preserve"> of the strategies are not successful,</w:t>
      </w:r>
      <w:r w:rsidRPr="007A2C54">
        <w:t xml:space="preserve"> alternative strategies will be explored with the participant.</w:t>
      </w:r>
    </w:p>
    <w:p w14:paraId="6E03790B" w14:textId="77777777" w:rsidR="0056212F" w:rsidRDefault="0056212F" w:rsidP="0056212F">
      <w:pPr>
        <w:pStyle w:val="Heading3"/>
      </w:pPr>
      <w:r>
        <w:t>Documenting progress</w:t>
      </w:r>
    </w:p>
    <w:p w14:paraId="16477BF5" w14:textId="77777777" w:rsidR="0056212F" w:rsidRDefault="0056212F" w:rsidP="0056212F">
      <w:pPr>
        <w:pStyle w:val="paragraph"/>
      </w:pPr>
      <w:r>
        <w:t>All staff are to complete accurate and timely progress notes to document the participant’s progress towards meeting their goals. Notes should be clearly linked to the supports provided e.g., activity engaged in and the participant’s reaction, meal provided, update on skill development etc. Participants can be involved in writing the progress notes by identifying any successes or challenges they have experienced in working towards achieving their goals. Participants should also be asked about the type and level of personal information they want documented on their progress notes.</w:t>
      </w:r>
    </w:p>
    <w:p w14:paraId="4F6B1B47" w14:textId="77777777" w:rsidR="0056212F" w:rsidRDefault="0056212F" w:rsidP="0056212F">
      <w:pPr>
        <w:pStyle w:val="Heading3"/>
      </w:pPr>
      <w:r>
        <w:t>Documenting referrals</w:t>
      </w:r>
    </w:p>
    <w:p w14:paraId="5B025240" w14:textId="77777777" w:rsidR="0056212F" w:rsidRPr="00DD2A57" w:rsidRDefault="0056212F" w:rsidP="0056212F">
      <w:pPr>
        <w:pStyle w:val="paragraph"/>
      </w:pPr>
      <w:r>
        <w:t xml:space="preserve">All referrals to and from </w:t>
      </w:r>
      <w:proofErr w:type="spellStart"/>
      <w:r>
        <w:t>Transpiral</w:t>
      </w:r>
      <w:proofErr w:type="spellEnd"/>
      <w:r>
        <w:t xml:space="preserve"> Wellbeing must be documented in the participant’s e-file. This may include email correspondence with other NDIS providers, allied health care providers, government authorities and mainstream organisations. Consent must be obtained from the participant prior to contacting another organisation on their behalf. A copy of the consent form and consent via other written mechanisms including email, must be kept in the participant’s e-file.</w:t>
      </w:r>
    </w:p>
    <w:p w14:paraId="031A4AD4" w14:textId="77777777" w:rsidR="0056212F" w:rsidRPr="0081086B" w:rsidRDefault="0056212F" w:rsidP="0056212F">
      <w:pPr>
        <w:pStyle w:val="Heading3"/>
      </w:pPr>
      <w:r w:rsidRPr="0081086B">
        <w:t>Transition planning</w:t>
      </w:r>
      <w:bookmarkEnd w:id="8"/>
      <w:r w:rsidRPr="0081086B">
        <w:t xml:space="preserve"> </w:t>
      </w:r>
    </w:p>
    <w:p w14:paraId="22B557DF" w14:textId="77777777" w:rsidR="0056212F" w:rsidRPr="0081086B" w:rsidRDefault="0056212F" w:rsidP="0056212F">
      <w:pPr>
        <w:pStyle w:val="paragraph"/>
      </w:pPr>
      <w:r w:rsidRPr="0081086B">
        <w:t>Where a participant is exiting our services (including if temporarily):</w:t>
      </w:r>
    </w:p>
    <w:p w14:paraId="21F8C9FA" w14:textId="77777777" w:rsidR="0056212F" w:rsidRPr="0081086B" w:rsidRDefault="0056212F" w:rsidP="0056212F">
      <w:pPr>
        <w:pStyle w:val="Bullet1"/>
      </w:pPr>
      <w:r w:rsidRPr="0081086B">
        <w:t>Inform the participant about the transition planning process.</w:t>
      </w:r>
    </w:p>
    <w:p w14:paraId="60693CA2" w14:textId="77777777" w:rsidR="0056212F" w:rsidRPr="0081086B" w:rsidRDefault="0056212F" w:rsidP="0056212F">
      <w:pPr>
        <w:pStyle w:val="Bullet1"/>
      </w:pPr>
      <w:r w:rsidRPr="0081086B">
        <w:lastRenderedPageBreak/>
        <w:t>Check the participant’s Consent Form regarding the releasing/sharing of information</w:t>
      </w:r>
      <w:r>
        <w:t xml:space="preserve"> with other providers</w:t>
      </w:r>
      <w:r w:rsidRPr="0081086B">
        <w:t>.</w:t>
      </w:r>
    </w:p>
    <w:p w14:paraId="4047F143" w14:textId="77777777" w:rsidR="0056212F" w:rsidRPr="0081086B" w:rsidRDefault="0056212F" w:rsidP="0056212F">
      <w:pPr>
        <w:pStyle w:val="Bullet1"/>
      </w:pPr>
      <w:r w:rsidRPr="0081086B">
        <w:t>Ensure consent is obtained from the participant or their representative prior to the sharing of any information with another service provider.</w:t>
      </w:r>
    </w:p>
    <w:p w14:paraId="22FF6C16" w14:textId="77777777" w:rsidR="0056212F" w:rsidRPr="0081086B" w:rsidRDefault="0056212F" w:rsidP="0056212F">
      <w:pPr>
        <w:pStyle w:val="Bullet1"/>
      </w:pPr>
      <w:r w:rsidRPr="0081086B">
        <w:t xml:space="preserve">Collaborate with the participant to facilitate a planned transition - refer </w:t>
      </w:r>
      <w:r w:rsidRPr="0081086B">
        <w:rPr>
          <w:i/>
          <w:iCs/>
        </w:rPr>
        <w:t>Transition Plan</w:t>
      </w:r>
      <w:r w:rsidRPr="0081086B">
        <w:t xml:space="preserve"> template. </w:t>
      </w:r>
    </w:p>
    <w:p w14:paraId="3BE24C2D" w14:textId="77777777" w:rsidR="0056212F" w:rsidRPr="0081086B" w:rsidRDefault="0056212F" w:rsidP="0056212F">
      <w:pPr>
        <w:pStyle w:val="Bullet1"/>
      </w:pPr>
      <w:r w:rsidRPr="0081086B">
        <w:t>Communicate the transition plan to the participant in the language or mode of communication that they are most likely to understand.</w:t>
      </w:r>
    </w:p>
    <w:p w14:paraId="73913F6C" w14:textId="77777777" w:rsidR="0056212F" w:rsidRPr="0081086B" w:rsidRDefault="0056212F" w:rsidP="0056212F">
      <w:pPr>
        <w:pStyle w:val="Bullet1"/>
      </w:pPr>
      <w:r w:rsidRPr="0081086B">
        <w:t>Identify, document, and respond to any risks associated with the transition and identify mitigation strategies.</w:t>
      </w:r>
    </w:p>
    <w:p w14:paraId="263B13B6" w14:textId="77777777" w:rsidR="0056212F" w:rsidRPr="0081086B" w:rsidRDefault="0056212F" w:rsidP="0056212F">
      <w:pPr>
        <w:pStyle w:val="Bullet1"/>
      </w:pPr>
      <w:r w:rsidRPr="0081086B">
        <w:t xml:space="preserve">Record the transition plan and any updates/review outcomes in the participant’s file. </w:t>
      </w:r>
    </w:p>
    <w:p w14:paraId="43700229" w14:textId="77777777" w:rsidR="0056212F" w:rsidRDefault="0056212F" w:rsidP="0056212F">
      <w:pPr>
        <w:pStyle w:val="Boldheading"/>
      </w:pPr>
      <w:r>
        <w:t>Temporary transitions e.g., to and from hospital</w:t>
      </w:r>
    </w:p>
    <w:p w14:paraId="3B0FBEF4" w14:textId="77777777" w:rsidR="0056212F" w:rsidRDefault="0056212F" w:rsidP="0056212F">
      <w:pPr>
        <w:pStyle w:val="paragraph"/>
      </w:pPr>
      <w:r>
        <w:t>When a participant is transitioning temporarily to another setting e.g., hospital, staff will:</w:t>
      </w:r>
    </w:p>
    <w:p w14:paraId="661D6B3C" w14:textId="77777777" w:rsidR="0056212F" w:rsidRDefault="0056212F" w:rsidP="0056212F">
      <w:pPr>
        <w:pStyle w:val="Bullet1"/>
      </w:pPr>
      <w:r>
        <w:t>Support the participants to take their belongings if needed.</w:t>
      </w:r>
    </w:p>
    <w:p w14:paraId="11A7B969" w14:textId="77777777" w:rsidR="0056212F" w:rsidRDefault="0056212F" w:rsidP="0056212F">
      <w:pPr>
        <w:pStyle w:val="Bullet1"/>
      </w:pPr>
      <w:r>
        <w:t>Support/remind the participant to take any medications with them if needed.</w:t>
      </w:r>
    </w:p>
    <w:p w14:paraId="6A80B819" w14:textId="77777777" w:rsidR="0056212F" w:rsidRDefault="0056212F" w:rsidP="0056212F">
      <w:pPr>
        <w:pStyle w:val="Bullet1"/>
      </w:pPr>
      <w:r>
        <w:t>Seek consent from the participant to inform other NDIS providers of the change as necessary.</w:t>
      </w:r>
    </w:p>
    <w:p w14:paraId="672397CF" w14:textId="77777777" w:rsidR="0056212F" w:rsidRDefault="0056212F" w:rsidP="0056212F">
      <w:pPr>
        <w:pStyle w:val="Bullet1"/>
      </w:pPr>
      <w:r>
        <w:t>Provide information with the participant’s consent as required. This may include support plans, medication information and health care plans.</w:t>
      </w:r>
    </w:p>
    <w:p w14:paraId="5B83BC49" w14:textId="77777777" w:rsidR="0056212F" w:rsidRDefault="0056212F" w:rsidP="0056212F">
      <w:pPr>
        <w:pStyle w:val="paragraph"/>
      </w:pPr>
      <w:r>
        <w:t xml:space="preserve">When a participant is transitioning back into our care from another service setting e.g., hospital, staff are to ensure that any discharge notes and reports </w:t>
      </w:r>
      <w:proofErr w:type="gramStart"/>
      <w:r>
        <w:t>e.g.</w:t>
      </w:r>
      <w:proofErr w:type="gramEnd"/>
      <w:r>
        <w:t xml:space="preserve"> medical reports are placed on the participant’s file (when we have a need to know this information to provide our services). If there are any changes required to the participant’s supports, the support plan and relevant health care plans must be updated immediately, and all staff advised of any changes.</w:t>
      </w:r>
    </w:p>
    <w:p w14:paraId="67DB1F6C" w14:textId="77777777" w:rsidR="0056212F" w:rsidRDefault="0056212F" w:rsidP="0056212F">
      <w:pPr>
        <w:pStyle w:val="Heading2"/>
      </w:pPr>
      <w:r>
        <w:t>RELATED DOCUMENTS</w:t>
      </w:r>
    </w:p>
    <w:p w14:paraId="5C516972" w14:textId="77777777" w:rsidR="0056212F" w:rsidRDefault="0056212F" w:rsidP="0056212F">
      <w:pPr>
        <w:pStyle w:val="Bullet1"/>
      </w:pPr>
      <w:r>
        <w:t>Participant Information Form.</w:t>
      </w:r>
    </w:p>
    <w:p w14:paraId="3A4713E1" w14:textId="77777777" w:rsidR="0056212F" w:rsidRDefault="0056212F" w:rsidP="0056212F">
      <w:pPr>
        <w:pStyle w:val="Bullet1"/>
      </w:pPr>
      <w:r>
        <w:t>Support Plan Template.</w:t>
      </w:r>
    </w:p>
    <w:p w14:paraId="53D273EE" w14:textId="77777777" w:rsidR="0056212F" w:rsidRDefault="0056212F" w:rsidP="0056212F">
      <w:pPr>
        <w:pStyle w:val="Bullet1"/>
      </w:pPr>
      <w:r>
        <w:t>Safety Plan Template.</w:t>
      </w:r>
    </w:p>
    <w:p w14:paraId="4BB65F75" w14:textId="77777777" w:rsidR="0056212F" w:rsidRDefault="0056212F" w:rsidP="0056212F">
      <w:pPr>
        <w:pStyle w:val="Bullet1"/>
      </w:pPr>
      <w:r>
        <w:t>Consent Form.</w:t>
      </w:r>
    </w:p>
    <w:p w14:paraId="2E78D7DB" w14:textId="77777777" w:rsidR="0056212F" w:rsidRDefault="0056212F" w:rsidP="0056212F">
      <w:pPr>
        <w:pStyle w:val="Bullet1"/>
      </w:pPr>
      <w:r>
        <w:t>Transition Plan Template.</w:t>
      </w:r>
    </w:p>
    <w:p w14:paraId="55EDE812" w14:textId="1D29A640" w:rsidR="001F0BAC" w:rsidRPr="00D92538" w:rsidRDefault="001F0BAC" w:rsidP="00B75CD7"/>
    <w:sectPr w:rsidR="001F0BAC" w:rsidRPr="00D92538" w:rsidSect="00C16657">
      <w:headerReference w:type="default" r:id="rId12"/>
      <w:footerReference w:type="even" r:id="rId13"/>
      <w:footerReference w:type="default" r:id="rId14"/>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EEB4" w14:textId="77777777" w:rsidR="0055305D" w:rsidRDefault="0055305D" w:rsidP="00242348">
      <w:r>
        <w:separator/>
      </w:r>
    </w:p>
  </w:endnote>
  <w:endnote w:type="continuationSeparator" w:id="0">
    <w:p w14:paraId="43067BED" w14:textId="77777777" w:rsidR="0055305D" w:rsidRDefault="0055305D"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483"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276"/>
      <w:gridCol w:w="1691"/>
    </w:tblGrid>
    <w:tr w:rsidR="00DC4B5A" w:rsidRPr="0028419A" w14:paraId="5AC2743A" w14:textId="77777777" w:rsidTr="004E5F6A">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276"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4E5F6A">
      <w:trPr>
        <w:trHeight w:val="263"/>
        <w:jc w:val="center"/>
      </w:trPr>
      <w:tc>
        <w:tcPr>
          <w:tcW w:w="2830" w:type="dxa"/>
        </w:tcPr>
        <w:p w14:paraId="70F1AA7C" w14:textId="434422E1" w:rsidR="00DC4B5A" w:rsidRPr="0028419A" w:rsidRDefault="0056212F" w:rsidP="0028419A">
          <w:pPr>
            <w:pStyle w:val="Footerstyle"/>
          </w:pPr>
          <w:r>
            <w:t xml:space="preserve">Service Intake &amp; Access </w:t>
          </w:r>
          <w:r w:rsidR="00366A19">
            <w:t>P</w:t>
          </w:r>
          <w:r w:rsidR="00DC4B5A" w:rsidRPr="0028419A">
            <w:t>olic</w:t>
          </w:r>
          <w:r w:rsidR="00E51E33">
            <w:t>y</w:t>
          </w:r>
        </w:p>
      </w:tc>
      <w:tc>
        <w:tcPr>
          <w:tcW w:w="993" w:type="dxa"/>
        </w:tcPr>
        <w:p w14:paraId="022659F3" w14:textId="5D85FCF5" w:rsidR="00DC4B5A" w:rsidRPr="0028419A" w:rsidRDefault="00E9688A" w:rsidP="0028419A">
          <w:pPr>
            <w:pStyle w:val="Footerstyle"/>
          </w:pPr>
          <w:r w:rsidRPr="0028419A">
            <w:t>PP</w:t>
          </w:r>
          <w:r w:rsidR="00E51E33">
            <w:t xml:space="preserve"> </w:t>
          </w:r>
          <w:r w:rsidR="00702583">
            <w:t>2</w:t>
          </w:r>
          <w:r w:rsidR="0056212F">
            <w:t>5</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276" w:type="dxa"/>
        </w:tcPr>
        <w:p w14:paraId="23D8B80C" w14:textId="7B382E7A" w:rsidR="00DC4B5A" w:rsidRPr="0028419A" w:rsidRDefault="00E51E33" w:rsidP="0028419A">
          <w:pPr>
            <w:pStyle w:val="Footerstyle"/>
          </w:pPr>
          <w:r>
            <w:t>7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3278F" w14:textId="77777777" w:rsidR="0055305D" w:rsidRDefault="0055305D" w:rsidP="00242348">
      <w:r>
        <w:separator/>
      </w:r>
    </w:p>
  </w:footnote>
  <w:footnote w:type="continuationSeparator" w:id="0">
    <w:p w14:paraId="2645BAFF" w14:textId="77777777" w:rsidR="0055305D" w:rsidRDefault="0055305D"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38FB"/>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C49F1"/>
    <w:rsid w:val="000C6350"/>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4BEC"/>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0632"/>
    <w:rsid w:val="00334D22"/>
    <w:rsid w:val="00336047"/>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6912"/>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4600"/>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3029"/>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305D"/>
    <w:rsid w:val="00554A69"/>
    <w:rsid w:val="00557B9A"/>
    <w:rsid w:val="00560292"/>
    <w:rsid w:val="00561D2A"/>
    <w:rsid w:val="0056212F"/>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399E"/>
    <w:rsid w:val="006A574B"/>
    <w:rsid w:val="006B77D7"/>
    <w:rsid w:val="006C6B2A"/>
    <w:rsid w:val="006D18CF"/>
    <w:rsid w:val="006D2AC1"/>
    <w:rsid w:val="006D2CA2"/>
    <w:rsid w:val="006D7655"/>
    <w:rsid w:val="006E006B"/>
    <w:rsid w:val="006E2E88"/>
    <w:rsid w:val="006E3397"/>
    <w:rsid w:val="006E4703"/>
    <w:rsid w:val="006E5564"/>
    <w:rsid w:val="006E67F6"/>
    <w:rsid w:val="006F13F3"/>
    <w:rsid w:val="006F22D3"/>
    <w:rsid w:val="006F425E"/>
    <w:rsid w:val="006F5295"/>
    <w:rsid w:val="00702583"/>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59C0"/>
    <w:rsid w:val="00767564"/>
    <w:rsid w:val="007734AF"/>
    <w:rsid w:val="007748E8"/>
    <w:rsid w:val="007752F5"/>
    <w:rsid w:val="007753B2"/>
    <w:rsid w:val="007760CE"/>
    <w:rsid w:val="00780216"/>
    <w:rsid w:val="00784892"/>
    <w:rsid w:val="007874D6"/>
    <w:rsid w:val="00787AD7"/>
    <w:rsid w:val="007914B8"/>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2FA1"/>
    <w:rsid w:val="007F33A7"/>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4C61"/>
    <w:rsid w:val="00835975"/>
    <w:rsid w:val="00841D43"/>
    <w:rsid w:val="00845C32"/>
    <w:rsid w:val="00846164"/>
    <w:rsid w:val="0085059B"/>
    <w:rsid w:val="00852E7F"/>
    <w:rsid w:val="00854809"/>
    <w:rsid w:val="008568BB"/>
    <w:rsid w:val="008640E4"/>
    <w:rsid w:val="00875920"/>
    <w:rsid w:val="00884F10"/>
    <w:rsid w:val="008850B6"/>
    <w:rsid w:val="00886655"/>
    <w:rsid w:val="0088737C"/>
    <w:rsid w:val="00892913"/>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072"/>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0F57"/>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5CD7"/>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BF48F0"/>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3985"/>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2538"/>
    <w:rsid w:val="00D95D23"/>
    <w:rsid w:val="00DA2A78"/>
    <w:rsid w:val="00DA4A80"/>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BDE"/>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B3338"/>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40C8"/>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6E54"/>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elensandersonassociates.co.uk/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Props1.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3.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4.xml><?xml version="1.0" encoding="utf-8"?>
<ds:datastoreItem xmlns:ds="http://schemas.openxmlformats.org/officeDocument/2006/customXml" ds:itemID="{7F365CDC-595E-49E6-9803-42A69FA35D75}">
  <ds:schemaRefs>
    <ds:schemaRef ds:uri="http://schemas.microsoft.com/office/2006/metadata/properties"/>
    <ds:schemaRef ds:uri="http://schemas.microsoft.com/office/infopath/2007/PartnerControls"/>
    <ds:schemaRef ds:uri="3f60790f-a993-46eb-8340-e72a2325a6c5"/>
    <ds:schemaRef ds:uri="cbca26e2-cde4-4d9c-be82-25fb437c2b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2125</Words>
  <Characters>12118</Characters>
  <Application>Microsoft Office Word</Application>
  <DocSecurity>0</DocSecurity>
  <Lines>100</Lines>
  <Paragraphs>28</Paragraphs>
  <ScaleCrop>false</ScaleCrop>
  <Manager/>
  <Company/>
  <LinksUpToDate>false</LinksUpToDate>
  <CharactersWithSpaces>14215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3</cp:revision>
  <dcterms:created xsi:type="dcterms:W3CDTF">2023-08-07T03:45:00Z</dcterms:created>
  <dcterms:modified xsi:type="dcterms:W3CDTF">2023-08-07T03:46:00Z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