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B557" w14:textId="2BB59A54" w:rsidR="007C52BD" w:rsidRPr="003B76F2" w:rsidRDefault="007C52BD" w:rsidP="007C52BD">
      <w:pPr>
        <w:pStyle w:val="Heading1"/>
      </w:pPr>
      <w:bookmarkStart w:id="0" w:name="_Toc133763601"/>
      <w:r>
        <w:t xml:space="preserve">PP 11 - </w:t>
      </w:r>
      <w:r w:rsidRPr="003B76F2">
        <w:t>Incident Management</w:t>
      </w:r>
      <w:bookmarkEnd w:id="0"/>
      <w:r w:rsidRPr="003B76F2">
        <w:t xml:space="preserve"> </w:t>
      </w:r>
      <w:r>
        <w:t>Policy</w:t>
      </w:r>
    </w:p>
    <w:p w14:paraId="2AE596CF" w14:textId="77777777" w:rsidR="007C52BD" w:rsidRPr="00407BD5" w:rsidRDefault="007C52BD" w:rsidP="007C52BD">
      <w:pPr>
        <w:pStyle w:val="Heading2"/>
      </w:pPr>
      <w:r w:rsidRPr="00407BD5">
        <w:t>POLICY STATEMENT</w:t>
      </w:r>
    </w:p>
    <w:p w14:paraId="44D752A0" w14:textId="77777777" w:rsidR="007C52BD" w:rsidRPr="00117F9B" w:rsidRDefault="007C52BD" w:rsidP="007C52BD">
      <w:pPr>
        <w:pStyle w:val="paragraph"/>
      </w:pPr>
      <w:proofErr w:type="spellStart"/>
      <w:r>
        <w:t>Transpiral</w:t>
      </w:r>
      <w:proofErr w:type="spellEnd"/>
      <w:r>
        <w:t xml:space="preserve"> Wellbeing</w:t>
      </w:r>
      <w:r w:rsidRPr="00117F9B">
        <w:t xml:space="preserve"> is committed to responding appropriately to incidents and learning from them to reduce the likelihood of incidents reoccurring. We are also committed to meeting our obligations under the NDIS Act 2013, its associated rules and practice standards and relevant state and territory work, health, and safety requirements.   </w:t>
      </w:r>
    </w:p>
    <w:p w14:paraId="13898C49" w14:textId="77777777" w:rsidR="007C52BD" w:rsidRPr="00117F9B" w:rsidRDefault="007C52BD" w:rsidP="007C52BD">
      <w:pPr>
        <w:pStyle w:val="paragraph"/>
      </w:pPr>
      <w:r w:rsidRPr="00117F9B">
        <w:t xml:space="preserve">An incident is an undesirable event that could negatively impact the well-being and safety of our </w:t>
      </w:r>
      <w:r>
        <w:t>participant</w:t>
      </w:r>
      <w:r w:rsidRPr="00117F9B">
        <w:t xml:space="preserve">s, employees, students, volunteers, and visitors. </w:t>
      </w:r>
      <w:r>
        <w:t>An incident can include unexplained injuries where the cause is not immediately obvious.</w:t>
      </w:r>
    </w:p>
    <w:p w14:paraId="1ED77CED" w14:textId="77777777" w:rsidR="007C52BD" w:rsidRPr="00117F9B" w:rsidRDefault="007C52BD" w:rsidP="007C52BD">
      <w:pPr>
        <w:pStyle w:val="Heading2"/>
      </w:pPr>
      <w:r>
        <w:t>SCOPE</w:t>
      </w:r>
    </w:p>
    <w:p w14:paraId="4BE0509C" w14:textId="77777777" w:rsidR="007C52BD" w:rsidRPr="00117F9B" w:rsidRDefault="007C52BD" w:rsidP="007C52BD">
      <w:pPr>
        <w:pStyle w:val="paragraph"/>
      </w:pPr>
      <w:r w:rsidRPr="00117F9B">
        <w:t>This policy applies to all employees, contractors, students, and volunteers across our all services and locations.</w:t>
      </w:r>
    </w:p>
    <w:p w14:paraId="77815992" w14:textId="77777777" w:rsidR="007C52BD" w:rsidRPr="00117F9B" w:rsidRDefault="007C52BD" w:rsidP="007C52BD">
      <w:pPr>
        <w:pStyle w:val="Heading2"/>
      </w:pPr>
      <w:bookmarkStart w:id="1" w:name="_Toc57989813"/>
      <w:r w:rsidRPr="00117F9B">
        <w:t>PURPOSE</w:t>
      </w:r>
      <w:bookmarkEnd w:id="1"/>
    </w:p>
    <w:p w14:paraId="38561B45" w14:textId="77777777" w:rsidR="007C52BD" w:rsidRPr="00117F9B" w:rsidRDefault="007C52BD" w:rsidP="007C52BD">
      <w:pPr>
        <w:pStyle w:val="paragraph"/>
      </w:pPr>
      <w:r w:rsidRPr="00117F9B">
        <w:t>These procedures provide employees with an effective, standardised system of reporting and managing incidents. It also tells management about problems so that work practices can be reviewed to reduce the likelihood of the incident happening again.</w:t>
      </w:r>
    </w:p>
    <w:p w14:paraId="5A60E8D4" w14:textId="77777777" w:rsidR="007C52BD" w:rsidRPr="00117F9B" w:rsidRDefault="007C52BD" w:rsidP="007C52BD">
      <w:pPr>
        <w:pStyle w:val="paragraph"/>
      </w:pPr>
      <w:r w:rsidRPr="00117F9B">
        <w:t>This procedure provides:</w:t>
      </w:r>
    </w:p>
    <w:p w14:paraId="52D0E0C9" w14:textId="77777777" w:rsidR="007C52BD" w:rsidRPr="00AA1372" w:rsidRDefault="007C52BD" w:rsidP="007C52BD">
      <w:pPr>
        <w:pStyle w:val="Bullet1"/>
      </w:pPr>
      <w:r w:rsidRPr="00AA1372">
        <w:t xml:space="preserve">guidance to our employees to effectively manage and respond to </w:t>
      </w:r>
      <w:proofErr w:type="gramStart"/>
      <w:r w:rsidRPr="00AA1372">
        <w:t>incidents</w:t>
      </w:r>
      <w:proofErr w:type="gramEnd"/>
    </w:p>
    <w:p w14:paraId="324C5BB5" w14:textId="77777777" w:rsidR="007C52BD" w:rsidRPr="00AA1372" w:rsidRDefault="007C52BD" w:rsidP="007C52BD">
      <w:pPr>
        <w:pStyle w:val="Bullet1"/>
      </w:pPr>
      <w:r w:rsidRPr="00AA1372">
        <w:t>means of quickly identifying unmet needs for extra support or training</w:t>
      </w:r>
    </w:p>
    <w:p w14:paraId="3666FCAE" w14:textId="77777777" w:rsidR="007C52BD" w:rsidRPr="00AA1372" w:rsidRDefault="007C52BD" w:rsidP="007C52BD">
      <w:pPr>
        <w:pStyle w:val="Bullet1"/>
      </w:pPr>
      <w:r w:rsidRPr="00AA1372">
        <w:t>mechanisms to indicate developing patterns of incidents, which may necessitate a change in work practices to better safeguard our participants and staff, and</w:t>
      </w:r>
    </w:p>
    <w:p w14:paraId="27F87575" w14:textId="77777777" w:rsidR="007C52BD" w:rsidRPr="00AA1372" w:rsidRDefault="007C52BD" w:rsidP="007C52BD">
      <w:pPr>
        <w:pStyle w:val="Bullet1"/>
      </w:pPr>
      <w:r w:rsidRPr="00AA1372">
        <w:t>guidance on recording the incident in case later reference is needed.</w:t>
      </w:r>
    </w:p>
    <w:p w14:paraId="01BEBF9B" w14:textId="77777777" w:rsidR="007C52BD" w:rsidRPr="00117F9B" w:rsidRDefault="007C52BD" w:rsidP="007C52BD">
      <w:pPr>
        <w:pStyle w:val="Heading2"/>
      </w:pPr>
      <w:bookmarkStart w:id="2" w:name="_Toc57989814"/>
      <w:r w:rsidRPr="00117F9B">
        <w:t>RESPONSIBILITIES</w:t>
      </w:r>
      <w:bookmarkEnd w:id="2"/>
    </w:p>
    <w:p w14:paraId="0DC95655" w14:textId="77777777" w:rsidR="007C52BD" w:rsidRPr="00DA6F4D" w:rsidRDefault="007C52BD" w:rsidP="007C52BD">
      <w:pPr>
        <w:pStyle w:val="paragraph"/>
      </w:pPr>
      <w:r w:rsidRPr="00DA6F4D">
        <w:t>The following specific responsibilities apply: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815"/>
        <w:gridCol w:w="3827"/>
      </w:tblGrid>
      <w:tr w:rsidR="007C52BD" w:rsidRPr="00117F9B" w14:paraId="5B657ED4" w14:textId="77777777" w:rsidTr="008E7305">
        <w:tc>
          <w:tcPr>
            <w:tcW w:w="4815" w:type="dxa"/>
            <w:tcBorders>
              <w:top w:val="dotted" w:sz="4" w:space="0" w:color="D9D9D9" w:themeColor="background1" w:themeShade="D9"/>
              <w:left w:val="dotted" w:sz="4" w:space="0" w:color="D9D9D9" w:themeColor="background1" w:themeShade="D9"/>
              <w:bottom w:val="single" w:sz="4" w:space="0" w:color="BFBFBF" w:themeColor="background1" w:themeShade="BF"/>
            </w:tcBorders>
            <w:shd w:val="clear" w:color="auto" w:fill="F2F2F2" w:themeFill="background1" w:themeFillShade="F2"/>
          </w:tcPr>
          <w:p w14:paraId="0001B721" w14:textId="77777777" w:rsidR="007C52BD" w:rsidRPr="00117F9B" w:rsidRDefault="007C52BD" w:rsidP="008E7305"/>
        </w:tc>
        <w:tc>
          <w:tcPr>
            <w:tcW w:w="3827" w:type="dxa"/>
            <w:tcBorders>
              <w:top w:val="dotted" w:sz="4" w:space="0" w:color="D9D9D9" w:themeColor="background1" w:themeShade="D9"/>
              <w:bottom w:val="single" w:sz="4" w:space="0" w:color="BFBFBF" w:themeColor="background1" w:themeShade="BF"/>
              <w:right w:val="dotted" w:sz="4" w:space="0" w:color="D9D9D9" w:themeColor="background1" w:themeShade="D9"/>
            </w:tcBorders>
            <w:shd w:val="clear" w:color="auto" w:fill="F2F2F2" w:themeFill="background1" w:themeFillShade="F2"/>
          </w:tcPr>
          <w:p w14:paraId="5CDB129A" w14:textId="77777777" w:rsidR="007C52BD" w:rsidRPr="00117F9B" w:rsidRDefault="007C52BD" w:rsidP="008E7305">
            <w:r w:rsidRPr="00117F9B">
              <w:t>Responsibility</w:t>
            </w:r>
          </w:p>
        </w:tc>
      </w:tr>
      <w:tr w:rsidR="007C52BD" w:rsidRPr="00117F9B" w14:paraId="51A9AAB5" w14:textId="77777777" w:rsidTr="008E7305">
        <w:tc>
          <w:tcPr>
            <w:tcW w:w="4815" w:type="dxa"/>
            <w:tcBorders>
              <w:top w:val="single" w:sz="4" w:space="0" w:color="BFBFBF" w:themeColor="background1" w:themeShade="BF"/>
              <w:left w:val="dotted" w:sz="4" w:space="0" w:color="D9D9D9" w:themeColor="background1" w:themeShade="D9"/>
            </w:tcBorders>
          </w:tcPr>
          <w:p w14:paraId="5FBF6D65" w14:textId="77777777" w:rsidR="007C52BD" w:rsidRPr="00117F9B" w:rsidRDefault="007C52BD" w:rsidP="008E7305">
            <w:r w:rsidRPr="00117F9B">
              <w:t>Reporting Incidents</w:t>
            </w:r>
          </w:p>
          <w:p w14:paraId="4DD4A87D" w14:textId="77777777" w:rsidR="007C52BD" w:rsidRPr="00117F9B" w:rsidRDefault="007C52BD" w:rsidP="008E7305">
            <w:r w:rsidRPr="00117F9B">
              <w:t>First point of contact to report an incident</w:t>
            </w:r>
          </w:p>
        </w:tc>
        <w:tc>
          <w:tcPr>
            <w:tcW w:w="3827" w:type="dxa"/>
            <w:tcBorders>
              <w:top w:val="single" w:sz="4" w:space="0" w:color="BFBFBF" w:themeColor="background1" w:themeShade="BF"/>
              <w:right w:val="dotted" w:sz="4" w:space="0" w:color="D9D9D9" w:themeColor="background1" w:themeShade="D9"/>
            </w:tcBorders>
            <w:shd w:val="clear" w:color="auto" w:fill="auto"/>
          </w:tcPr>
          <w:p w14:paraId="7250935B" w14:textId="77777777" w:rsidR="007C52BD" w:rsidRPr="00117F9B" w:rsidRDefault="007C52BD" w:rsidP="008E7305">
            <w:r w:rsidRPr="00117F9B">
              <w:t>All employees</w:t>
            </w:r>
          </w:p>
          <w:p w14:paraId="183202FF" w14:textId="77777777" w:rsidR="007C52BD" w:rsidRPr="00117F9B" w:rsidRDefault="007C52BD" w:rsidP="008E7305">
            <w:r w:rsidRPr="00117F9B">
              <w:t>Managing Director</w:t>
            </w:r>
          </w:p>
        </w:tc>
      </w:tr>
      <w:tr w:rsidR="007C52BD" w:rsidRPr="00117F9B" w14:paraId="38D6AA16" w14:textId="77777777" w:rsidTr="008E7305">
        <w:tc>
          <w:tcPr>
            <w:tcW w:w="4815" w:type="dxa"/>
            <w:tcBorders>
              <w:left w:val="dotted" w:sz="4" w:space="0" w:color="D9D9D9" w:themeColor="background1" w:themeShade="D9"/>
            </w:tcBorders>
          </w:tcPr>
          <w:p w14:paraId="7506B2D3" w14:textId="77777777" w:rsidR="007C52BD" w:rsidRPr="00117F9B" w:rsidRDefault="007C52BD" w:rsidP="008E7305">
            <w:r w:rsidRPr="00117F9B">
              <w:t>Enter the incident on the incident register</w:t>
            </w:r>
          </w:p>
        </w:tc>
        <w:tc>
          <w:tcPr>
            <w:tcW w:w="3827" w:type="dxa"/>
            <w:tcBorders>
              <w:right w:val="dotted" w:sz="4" w:space="0" w:color="D9D9D9" w:themeColor="background1" w:themeShade="D9"/>
            </w:tcBorders>
            <w:shd w:val="clear" w:color="auto" w:fill="auto"/>
          </w:tcPr>
          <w:p w14:paraId="1D073706" w14:textId="77777777" w:rsidR="007C52BD" w:rsidRPr="00117F9B" w:rsidRDefault="007C52BD" w:rsidP="008E7305">
            <w:r w:rsidRPr="00117F9B">
              <w:t>Managing Director</w:t>
            </w:r>
          </w:p>
        </w:tc>
      </w:tr>
      <w:tr w:rsidR="007C52BD" w:rsidRPr="00117F9B" w14:paraId="2C3AFCE0" w14:textId="77777777" w:rsidTr="008E7305">
        <w:tc>
          <w:tcPr>
            <w:tcW w:w="4815" w:type="dxa"/>
            <w:tcBorders>
              <w:left w:val="dotted" w:sz="4" w:space="0" w:color="D9D9D9" w:themeColor="background1" w:themeShade="D9"/>
            </w:tcBorders>
          </w:tcPr>
          <w:p w14:paraId="1E47DDB8" w14:textId="77777777" w:rsidR="007C52BD" w:rsidRPr="00117F9B" w:rsidRDefault="007C52BD" w:rsidP="008E7305">
            <w:r w:rsidRPr="00117F9B">
              <w:t>Authorised Reportable Incidents Notifier</w:t>
            </w:r>
          </w:p>
        </w:tc>
        <w:tc>
          <w:tcPr>
            <w:tcW w:w="3827" w:type="dxa"/>
            <w:tcBorders>
              <w:right w:val="dotted" w:sz="4" w:space="0" w:color="D9D9D9" w:themeColor="background1" w:themeShade="D9"/>
            </w:tcBorders>
            <w:shd w:val="clear" w:color="auto" w:fill="auto"/>
          </w:tcPr>
          <w:p w14:paraId="46119982" w14:textId="77777777" w:rsidR="007C52BD" w:rsidRPr="00117F9B" w:rsidRDefault="007C52BD" w:rsidP="008E7305">
            <w:r w:rsidRPr="00117F9B">
              <w:t>Managing Director</w:t>
            </w:r>
          </w:p>
        </w:tc>
      </w:tr>
      <w:tr w:rsidR="007C52BD" w:rsidRPr="00117F9B" w14:paraId="2E06B8D4" w14:textId="77777777" w:rsidTr="008E7305">
        <w:tc>
          <w:tcPr>
            <w:tcW w:w="4815" w:type="dxa"/>
            <w:tcBorders>
              <w:left w:val="dotted" w:sz="4" w:space="0" w:color="D9D9D9" w:themeColor="background1" w:themeShade="D9"/>
            </w:tcBorders>
          </w:tcPr>
          <w:p w14:paraId="6E03DF62" w14:textId="77777777" w:rsidR="007C52BD" w:rsidRPr="00117F9B" w:rsidRDefault="007C52BD" w:rsidP="008E7305">
            <w:r w:rsidRPr="00117F9B">
              <w:t>Authorised Reportable Incidents Approver</w:t>
            </w:r>
          </w:p>
        </w:tc>
        <w:tc>
          <w:tcPr>
            <w:tcW w:w="3827" w:type="dxa"/>
            <w:tcBorders>
              <w:right w:val="dotted" w:sz="4" w:space="0" w:color="D9D9D9" w:themeColor="background1" w:themeShade="D9"/>
            </w:tcBorders>
            <w:shd w:val="clear" w:color="auto" w:fill="auto"/>
          </w:tcPr>
          <w:p w14:paraId="259DB3C8" w14:textId="77777777" w:rsidR="007C52BD" w:rsidRPr="00117F9B" w:rsidRDefault="007C52BD" w:rsidP="008E7305">
            <w:r w:rsidRPr="00117F9B">
              <w:t>Managing Director</w:t>
            </w:r>
          </w:p>
        </w:tc>
      </w:tr>
      <w:tr w:rsidR="007C52BD" w:rsidRPr="00117F9B" w14:paraId="2FEF1AAD" w14:textId="77777777" w:rsidTr="008E7305">
        <w:tc>
          <w:tcPr>
            <w:tcW w:w="4815" w:type="dxa"/>
            <w:tcBorders>
              <w:left w:val="dotted" w:sz="4" w:space="0" w:color="D9D9D9" w:themeColor="background1" w:themeShade="D9"/>
            </w:tcBorders>
          </w:tcPr>
          <w:p w14:paraId="52ED6732" w14:textId="77777777" w:rsidR="007C52BD" w:rsidRPr="00117F9B" w:rsidRDefault="007C52BD" w:rsidP="008E7305">
            <w:r w:rsidRPr="00117F9B">
              <w:lastRenderedPageBreak/>
              <w:t xml:space="preserve">Internal incident investigation </w:t>
            </w:r>
          </w:p>
        </w:tc>
        <w:tc>
          <w:tcPr>
            <w:tcW w:w="3827" w:type="dxa"/>
            <w:tcBorders>
              <w:right w:val="dotted" w:sz="4" w:space="0" w:color="D9D9D9" w:themeColor="background1" w:themeShade="D9"/>
            </w:tcBorders>
            <w:shd w:val="clear" w:color="auto" w:fill="auto"/>
          </w:tcPr>
          <w:p w14:paraId="789CBC42" w14:textId="77777777" w:rsidR="007C52BD" w:rsidRPr="00117F9B" w:rsidRDefault="007C52BD" w:rsidP="008E7305">
            <w:r w:rsidRPr="00117F9B">
              <w:t>Managing Director</w:t>
            </w:r>
          </w:p>
        </w:tc>
      </w:tr>
      <w:tr w:rsidR="007C52BD" w:rsidRPr="00117F9B" w14:paraId="4ED9324E" w14:textId="77777777" w:rsidTr="008E7305">
        <w:tc>
          <w:tcPr>
            <w:tcW w:w="4815" w:type="dxa"/>
            <w:tcBorders>
              <w:left w:val="dotted" w:sz="4" w:space="0" w:color="D9D9D9" w:themeColor="background1" w:themeShade="D9"/>
            </w:tcBorders>
          </w:tcPr>
          <w:p w14:paraId="02DF2B81" w14:textId="77777777" w:rsidR="007C52BD" w:rsidRPr="00117F9B" w:rsidRDefault="007C52BD" w:rsidP="008E7305">
            <w:r w:rsidRPr="00117F9B">
              <w:t>Incident closure</w:t>
            </w:r>
          </w:p>
        </w:tc>
        <w:tc>
          <w:tcPr>
            <w:tcW w:w="3827" w:type="dxa"/>
            <w:tcBorders>
              <w:right w:val="dotted" w:sz="4" w:space="0" w:color="D9D9D9" w:themeColor="background1" w:themeShade="D9"/>
            </w:tcBorders>
            <w:shd w:val="clear" w:color="auto" w:fill="auto"/>
          </w:tcPr>
          <w:p w14:paraId="4694A05F" w14:textId="77777777" w:rsidR="007C52BD" w:rsidRPr="00117F9B" w:rsidRDefault="007C52BD" w:rsidP="008E7305">
            <w:r w:rsidRPr="00117F9B">
              <w:t>Managing Director</w:t>
            </w:r>
          </w:p>
        </w:tc>
      </w:tr>
      <w:tr w:rsidR="007C52BD" w:rsidRPr="00117F9B" w14:paraId="2367ACFE" w14:textId="77777777" w:rsidTr="008E7305">
        <w:tc>
          <w:tcPr>
            <w:tcW w:w="4815" w:type="dxa"/>
            <w:tcBorders>
              <w:left w:val="dotted" w:sz="4" w:space="0" w:color="D9D9D9" w:themeColor="background1" w:themeShade="D9"/>
              <w:bottom w:val="dotted" w:sz="4" w:space="0" w:color="D9D9D9" w:themeColor="background1" w:themeShade="D9"/>
            </w:tcBorders>
          </w:tcPr>
          <w:p w14:paraId="7D6BCA5A" w14:textId="77777777" w:rsidR="007C52BD" w:rsidRPr="00117F9B" w:rsidRDefault="007C52BD" w:rsidP="008E7305">
            <w:r w:rsidRPr="00117F9B">
              <w:t>Incident monitoring</w:t>
            </w:r>
          </w:p>
        </w:tc>
        <w:tc>
          <w:tcPr>
            <w:tcW w:w="3827" w:type="dxa"/>
            <w:tcBorders>
              <w:bottom w:val="dotted" w:sz="4" w:space="0" w:color="D9D9D9" w:themeColor="background1" w:themeShade="D9"/>
              <w:right w:val="dotted" w:sz="4" w:space="0" w:color="D9D9D9" w:themeColor="background1" w:themeShade="D9"/>
            </w:tcBorders>
          </w:tcPr>
          <w:p w14:paraId="2B3ECDBE" w14:textId="77777777" w:rsidR="007C52BD" w:rsidRPr="00117F9B" w:rsidRDefault="007C52BD" w:rsidP="008E7305">
            <w:r w:rsidRPr="00117F9B">
              <w:t>Managing Director</w:t>
            </w:r>
          </w:p>
        </w:tc>
      </w:tr>
    </w:tbl>
    <w:p w14:paraId="5B64643D" w14:textId="77777777" w:rsidR="007C52BD" w:rsidRDefault="007C52BD" w:rsidP="007C52BD">
      <w:pPr>
        <w:pStyle w:val="Heading2"/>
      </w:pPr>
      <w:bookmarkStart w:id="3" w:name="_Toc11908010"/>
      <w:bookmarkStart w:id="4" w:name="_Toc57989815"/>
    </w:p>
    <w:p w14:paraId="35665B71" w14:textId="77777777" w:rsidR="007C52BD" w:rsidRPr="003D4D8B" w:rsidRDefault="007C52BD" w:rsidP="007C52BD">
      <w:pPr>
        <w:pStyle w:val="Heading2"/>
      </w:pPr>
      <w:r w:rsidRPr="003D4D8B">
        <w:t>PRINCIPLES OF GOOD INCIDENT MANAGEMENT AND RESOLUTION</w:t>
      </w:r>
      <w:bookmarkEnd w:id="3"/>
    </w:p>
    <w:p w14:paraId="32CECB61" w14:textId="77777777" w:rsidR="007C52BD" w:rsidRPr="003D4D8B" w:rsidRDefault="007C52BD" w:rsidP="007C52BD">
      <w:pPr>
        <w:pStyle w:val="paragraph"/>
      </w:pPr>
      <w:r w:rsidRPr="003D4D8B">
        <w:rPr>
          <w:noProof/>
        </w:rPr>
        <w:drawing>
          <wp:inline distT="0" distB="0" distL="0" distR="0" wp14:anchorId="26015B8D" wp14:editId="1D21ED11">
            <wp:extent cx="5731510" cy="3749040"/>
            <wp:effectExtent l="0" t="0" r="2540" b="0"/>
            <wp:docPr id="5" name="Picture 4" descr="This figure outlines the principles of good management and resolution. There are two columns. The first column contains a list of key principles, next to an icon representing each principle. The second column contains a description of the principle. &#10;&#10;The principle Centred on people with disability is next to an icon of a person in the centre of a circle with arrows pointing outward. Centred on people with disability means smnagement of an incident is respectful of, and responsive to, a person with disability’s preferences, needs and values while supporting the person’s safety and wellbeing.&#10;&#10;The principle outcome focussed is next to an icon of a hand pointing to results on a page. Outcome focussed means management of an incident should reveal the factors which contributed to the incident occurring, and seek to prevent incidents from reoccurring, where appropriate.&#10;&#10;The principle Clear, simple and consistent is next to an icon of a checklist. Clear, simple and consistent means the process for dealing with incidents is easy to understand, accessible and consistently applied.&#10;&#10;The principle accountable is next to an icon of a calculator and pen. Accountable means providers are responsible for appropriately managing the response to incidents. Everyone involved in the management of an incident understands their role and responsibilities, and will be accountable for decisions or actions taken in regard to an incident.&#10;&#10;The principle continual improvement is next to an icon of a bar chart where the bars increase in size over time. Continual improvement means the incident management process facilitates the ongoing identification of issues and implementation of changes to improve the quality and safety of NDIS supports and services.&#10;&#10;The principle proportionate is next to an icon of a set of balanced scales. Proportionate means the nature of any investigation or actions following an incident will be proportionate to the harm caused and any risk of future harm to a person with disability." title="Principles of good incident management and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a:srcRect b="8757"/>
                    <a:stretch/>
                  </pic:blipFill>
                  <pic:spPr>
                    <a:xfrm>
                      <a:off x="0" y="0"/>
                      <a:ext cx="5731510" cy="3749040"/>
                    </a:xfrm>
                    <a:prstGeom prst="rect">
                      <a:avLst/>
                    </a:prstGeom>
                  </pic:spPr>
                </pic:pic>
              </a:graphicData>
            </a:graphic>
          </wp:inline>
        </w:drawing>
      </w:r>
    </w:p>
    <w:p w14:paraId="425D0D19" w14:textId="77777777" w:rsidR="007C52BD" w:rsidRPr="003D4D8B" w:rsidRDefault="007C52BD" w:rsidP="007C52BD">
      <w:pPr>
        <w:pStyle w:val="paragraph"/>
      </w:pPr>
      <w:r w:rsidRPr="003D4D8B">
        <w:t>Source: NDIS Quality and Safeguards Commission</w:t>
      </w:r>
    </w:p>
    <w:p w14:paraId="06CC4F27" w14:textId="77777777" w:rsidR="007C52BD" w:rsidRPr="00117F9B" w:rsidRDefault="007C52BD" w:rsidP="007C52BD">
      <w:pPr>
        <w:pStyle w:val="Heading2"/>
      </w:pPr>
      <w:r w:rsidRPr="00117F9B">
        <w:t>PROCEDURE</w:t>
      </w:r>
      <w:bookmarkEnd w:id="4"/>
    </w:p>
    <w:p w14:paraId="67054130" w14:textId="77777777" w:rsidR="007C52BD" w:rsidRPr="00117F9B" w:rsidRDefault="007C52BD" w:rsidP="007C52BD">
      <w:pPr>
        <w:pStyle w:val="paragraph"/>
      </w:pPr>
      <w:r w:rsidRPr="00117F9B">
        <w:t>When an incident, including a near miss, or accident occurs employees must:</w:t>
      </w:r>
    </w:p>
    <w:p w14:paraId="4FA2CD37" w14:textId="77777777" w:rsidR="007C52BD" w:rsidRPr="00AA1372" w:rsidRDefault="007C52BD" w:rsidP="007C52BD">
      <w:pPr>
        <w:pStyle w:val="Bullet1"/>
      </w:pPr>
      <w:r w:rsidRPr="00AA1372">
        <w:t xml:space="preserve">Ensure the immediate safety of participants and other employees and provide </w:t>
      </w:r>
      <w:r w:rsidRPr="00AA1372">
        <w:rPr>
          <w:color w:val="FF0000"/>
        </w:rPr>
        <w:t xml:space="preserve">First Aid </w:t>
      </w:r>
      <w:r w:rsidRPr="00AA1372">
        <w:t>if required.</w:t>
      </w:r>
    </w:p>
    <w:p w14:paraId="33A79DB5" w14:textId="77777777" w:rsidR="007C52BD" w:rsidRPr="00AA1372" w:rsidRDefault="007C52BD" w:rsidP="007C52BD">
      <w:pPr>
        <w:pStyle w:val="Bullet1"/>
      </w:pPr>
      <w:r w:rsidRPr="00AA1372">
        <w:t>Call 000 - if required (Police, Fire, Ambulance) – refer to Emergency Management policy and procedure.</w:t>
      </w:r>
    </w:p>
    <w:p w14:paraId="405A03B8" w14:textId="77777777" w:rsidR="007C52BD" w:rsidRPr="00AA1372" w:rsidRDefault="007C52BD" w:rsidP="007C52BD">
      <w:pPr>
        <w:pStyle w:val="Bullet1"/>
      </w:pPr>
      <w:r w:rsidRPr="00AA1372">
        <w:t>If the incident is a Category 1 or 2 incident, notify the Managing Director by phone or email as soon as is practicably possible and no later than 2 hours following the incident occurring. Failure to notify may result in disciplinary action.</w:t>
      </w:r>
    </w:p>
    <w:p w14:paraId="584D70F3" w14:textId="77777777" w:rsidR="007C52BD" w:rsidRPr="00AA1372" w:rsidRDefault="007C52BD" w:rsidP="007C52BD">
      <w:pPr>
        <w:pStyle w:val="Bullet1"/>
      </w:pPr>
      <w:r w:rsidRPr="00AA1372">
        <w:t>If the incident is a Category 1 or 2 incident immediately notify the person’s primary family contact or carer/guardian.</w:t>
      </w:r>
    </w:p>
    <w:p w14:paraId="2DF30294" w14:textId="77777777" w:rsidR="007C52BD" w:rsidRPr="00AA1372" w:rsidRDefault="007C52BD" w:rsidP="007C52BD">
      <w:pPr>
        <w:pStyle w:val="Bullet1"/>
      </w:pPr>
      <w:r w:rsidRPr="00AA1372">
        <w:lastRenderedPageBreak/>
        <w:t>If the incident is a Category 3 incident notify the Managing Director by phone or email within 24 hours of the incident occurring.</w:t>
      </w:r>
    </w:p>
    <w:p w14:paraId="5EB6BB9C" w14:textId="77777777" w:rsidR="007C52BD" w:rsidRPr="00AA1372" w:rsidRDefault="007C52BD" w:rsidP="007C52BD">
      <w:pPr>
        <w:pStyle w:val="Bullet1"/>
      </w:pPr>
      <w:r w:rsidRPr="00AA1372">
        <w:t>Complete an Incident Report within 24 hours of all Category 1, 2, 3 incidents or near miss and submit it to the Managing Director via email.</w:t>
      </w:r>
    </w:p>
    <w:p w14:paraId="23483354" w14:textId="77777777" w:rsidR="007C52BD" w:rsidRDefault="007C52BD" w:rsidP="007C52BD">
      <w:pPr>
        <w:pStyle w:val="Bullet1"/>
      </w:pPr>
      <w:r w:rsidRPr="00AA1372">
        <w:t>If the incident is a Reportable Incident under the NDIS Restrictive Practices and Behaviour Support Rules, the authorised reportable incident approver is responsible for ensuring the incident is reported to the NDIS Commission and the authorised reportable incident notifier will collate and report the required information</w:t>
      </w:r>
      <w:r w:rsidRPr="00117F9B">
        <w:t>.</w:t>
      </w:r>
    </w:p>
    <w:p w14:paraId="23E5E752" w14:textId="77777777" w:rsidR="007C52BD" w:rsidRPr="00117F9B" w:rsidRDefault="007C52BD" w:rsidP="007C52BD">
      <w:pPr>
        <w:pStyle w:val="paragraph"/>
      </w:pPr>
      <w:r>
        <w:t>Note the timeframes described above apply to any incidents that occur outside of normal business hours.</w:t>
      </w:r>
    </w:p>
    <w:p w14:paraId="45E80B68" w14:textId="77777777" w:rsidR="007C52BD" w:rsidRPr="00117F9B" w:rsidRDefault="007C52BD" w:rsidP="007C52BD">
      <w:pPr>
        <w:pStyle w:val="Heading2"/>
      </w:pPr>
      <w:bookmarkStart w:id="5" w:name="_Toc57989816"/>
      <w:r w:rsidRPr="00117F9B">
        <w:t>INCIDENT CATEGORIES</w:t>
      </w:r>
      <w:bookmarkEnd w:id="5"/>
    </w:p>
    <w:p w14:paraId="720A6DB8" w14:textId="77777777" w:rsidR="007C52BD" w:rsidRPr="00117F9B" w:rsidRDefault="007C52BD" w:rsidP="007C52BD">
      <w:pPr>
        <w:pStyle w:val="Heading3"/>
      </w:pPr>
      <w:r w:rsidRPr="00117F9B">
        <w:t xml:space="preserve">Category 3 incidents  </w:t>
      </w:r>
    </w:p>
    <w:p w14:paraId="15201CFD" w14:textId="77777777" w:rsidR="007C52BD" w:rsidRPr="00117F9B" w:rsidRDefault="007C52BD" w:rsidP="007C52BD">
      <w:pPr>
        <w:pStyle w:val="Bullet1"/>
      </w:pPr>
      <w:r w:rsidRPr="00117F9B">
        <w:t xml:space="preserve">Minor injury to a </w:t>
      </w:r>
      <w:r>
        <w:t>participant</w:t>
      </w:r>
      <w:r w:rsidRPr="00117F9B">
        <w:t xml:space="preserve"> and/or their carer – First Aid not required.</w:t>
      </w:r>
    </w:p>
    <w:p w14:paraId="0C04D42E" w14:textId="77777777" w:rsidR="007C52BD" w:rsidRPr="00117F9B" w:rsidRDefault="007C52BD" w:rsidP="007C52BD">
      <w:pPr>
        <w:pStyle w:val="Bullet1"/>
      </w:pPr>
      <w:r w:rsidRPr="00117F9B">
        <w:t>Minor injury to an employee – First Aid not required.</w:t>
      </w:r>
    </w:p>
    <w:p w14:paraId="304C9A04" w14:textId="77777777" w:rsidR="007C52BD" w:rsidRPr="00117F9B" w:rsidRDefault="007C52BD" w:rsidP="007C52BD">
      <w:pPr>
        <w:pStyle w:val="Bullet1"/>
      </w:pPr>
      <w:r w:rsidRPr="00117F9B">
        <w:t>Verbal abuse</w:t>
      </w:r>
      <w:r>
        <w:t>.</w:t>
      </w:r>
    </w:p>
    <w:p w14:paraId="05BD52DD" w14:textId="77777777" w:rsidR="007C52BD" w:rsidRPr="00117F9B" w:rsidRDefault="007C52BD" w:rsidP="007C52BD">
      <w:pPr>
        <w:pStyle w:val="Bullet1"/>
      </w:pPr>
      <w:r w:rsidRPr="00117F9B">
        <w:t>Minor property damage</w:t>
      </w:r>
      <w:r>
        <w:t>.</w:t>
      </w:r>
      <w:r w:rsidRPr="00117F9B">
        <w:t xml:space="preserve"> </w:t>
      </w:r>
    </w:p>
    <w:p w14:paraId="4B209FBB" w14:textId="77777777" w:rsidR="007C52BD" w:rsidRPr="00117F9B" w:rsidRDefault="007C52BD" w:rsidP="007C52BD">
      <w:pPr>
        <w:pStyle w:val="Heading3"/>
      </w:pPr>
      <w:r w:rsidRPr="00117F9B">
        <w:t>Category 2 incidents</w:t>
      </w:r>
    </w:p>
    <w:p w14:paraId="3D9CB2A8" w14:textId="77777777" w:rsidR="007C52BD" w:rsidRPr="00117F9B" w:rsidRDefault="007C52BD" w:rsidP="007C52BD">
      <w:pPr>
        <w:pStyle w:val="Bullet1"/>
      </w:pPr>
      <w:r w:rsidRPr="00117F9B">
        <w:t>Injuries to employees requiring First Aid</w:t>
      </w:r>
      <w:r>
        <w:t>.</w:t>
      </w:r>
    </w:p>
    <w:p w14:paraId="3F7EBC2F" w14:textId="77777777" w:rsidR="007C52BD" w:rsidRPr="00117F9B" w:rsidRDefault="007C52BD" w:rsidP="007C52BD">
      <w:pPr>
        <w:pStyle w:val="Bullet1"/>
      </w:pPr>
      <w:r w:rsidRPr="00117F9B">
        <w:t xml:space="preserve">Injuries to </w:t>
      </w:r>
      <w:r>
        <w:t>participant</w:t>
      </w:r>
      <w:r w:rsidRPr="00117F9B">
        <w:t>s and/or carers requiring First Aid</w:t>
      </w:r>
      <w:r>
        <w:t>.</w:t>
      </w:r>
    </w:p>
    <w:p w14:paraId="7C063927" w14:textId="77777777" w:rsidR="007C52BD" w:rsidRPr="00117F9B" w:rsidRDefault="007C52BD" w:rsidP="007C52BD">
      <w:pPr>
        <w:pStyle w:val="Bullet1"/>
      </w:pPr>
      <w:r w:rsidRPr="00117F9B">
        <w:t>Significant property damage</w:t>
      </w:r>
      <w:r>
        <w:t>.</w:t>
      </w:r>
    </w:p>
    <w:p w14:paraId="15CB8475" w14:textId="77777777" w:rsidR="007C52BD" w:rsidRPr="00117F9B" w:rsidRDefault="007C52BD" w:rsidP="007C52BD">
      <w:pPr>
        <w:pStyle w:val="Heading3"/>
      </w:pPr>
      <w:r w:rsidRPr="00117F9B">
        <w:t xml:space="preserve">Category 1 incidents  </w:t>
      </w:r>
    </w:p>
    <w:p w14:paraId="3BA53693" w14:textId="77777777" w:rsidR="007C52BD" w:rsidRPr="00117F9B" w:rsidRDefault="007C52BD" w:rsidP="007C52BD">
      <w:pPr>
        <w:pStyle w:val="Bullet1"/>
      </w:pPr>
      <w:r w:rsidRPr="00117F9B">
        <w:t>Serious injury to employees requiring medical treatment/hospitalisation.</w:t>
      </w:r>
    </w:p>
    <w:p w14:paraId="4C2B7679" w14:textId="77777777" w:rsidR="007C52BD" w:rsidRPr="00117F9B" w:rsidRDefault="007C52BD" w:rsidP="007C52BD">
      <w:pPr>
        <w:pStyle w:val="Bullet1"/>
      </w:pPr>
      <w:r w:rsidRPr="00117F9B">
        <w:t xml:space="preserve">Serious injury to </w:t>
      </w:r>
      <w:r>
        <w:t>participant</w:t>
      </w:r>
      <w:r w:rsidRPr="00117F9B">
        <w:t>s and/or carers requiring medical treatment/hospitalisation.</w:t>
      </w:r>
    </w:p>
    <w:p w14:paraId="3A6CEE54" w14:textId="77777777" w:rsidR="007C52BD" w:rsidRPr="00117F9B" w:rsidRDefault="007C52BD" w:rsidP="007C52BD">
      <w:pPr>
        <w:pStyle w:val="Bullet1"/>
      </w:pPr>
      <w:r w:rsidRPr="00117F9B">
        <w:t>All incidents that are considered NDIS reportable incidents.</w:t>
      </w:r>
    </w:p>
    <w:p w14:paraId="7FFFD558" w14:textId="77777777" w:rsidR="007C52BD" w:rsidRPr="00117F9B" w:rsidRDefault="007C52BD" w:rsidP="007C52BD">
      <w:pPr>
        <w:pStyle w:val="Bullet1"/>
      </w:pPr>
      <w:r w:rsidRPr="00117F9B">
        <w:t xml:space="preserve">Any incident involving the police, </w:t>
      </w:r>
      <w:proofErr w:type="gramStart"/>
      <w:r w:rsidRPr="00117F9B">
        <w:t>fire</w:t>
      </w:r>
      <w:proofErr w:type="gramEnd"/>
      <w:r w:rsidRPr="00117F9B">
        <w:t xml:space="preserve"> or ambulance services.</w:t>
      </w:r>
    </w:p>
    <w:p w14:paraId="14A88017" w14:textId="77777777" w:rsidR="007C52BD" w:rsidRPr="00117F9B" w:rsidRDefault="007C52BD" w:rsidP="007C52BD">
      <w:pPr>
        <w:pStyle w:val="Bullet1"/>
      </w:pPr>
      <w:r w:rsidRPr="00117F9B">
        <w:t>Events with health and safety implications, e.g., fire hazards such as the storage of chemicals or an attempted break and enter.</w:t>
      </w:r>
    </w:p>
    <w:p w14:paraId="1F46B438" w14:textId="77777777" w:rsidR="007C52BD" w:rsidRPr="00117F9B" w:rsidRDefault="007C52BD" w:rsidP="007C52BD">
      <w:pPr>
        <w:pStyle w:val="Bullet1"/>
      </w:pPr>
      <w:r w:rsidRPr="00117F9B">
        <w:t>Events that may be of significant interest to the media.</w:t>
      </w:r>
    </w:p>
    <w:p w14:paraId="767C9538" w14:textId="77777777" w:rsidR="007C52BD" w:rsidRDefault="007C52BD" w:rsidP="007C52BD">
      <w:pPr>
        <w:pStyle w:val="Heading2"/>
      </w:pPr>
      <w:r>
        <w:t>CAUSES OF INCIDENTS</w:t>
      </w:r>
    </w:p>
    <w:p w14:paraId="24756D1F" w14:textId="77777777" w:rsidR="007C52BD" w:rsidRPr="00117F9B" w:rsidRDefault="007C52BD" w:rsidP="007C52BD">
      <w:pPr>
        <w:pStyle w:val="paragraph"/>
      </w:pPr>
      <w:r w:rsidRPr="00117F9B">
        <w:t>Note that incidents can occur due to a range of factors. This may include, but is not limited to:</w:t>
      </w:r>
    </w:p>
    <w:p w14:paraId="47E807C4" w14:textId="77777777" w:rsidR="007C52BD" w:rsidRPr="005B66E3" w:rsidRDefault="007C52BD" w:rsidP="007C52BD">
      <w:pPr>
        <w:pStyle w:val="Bullet1"/>
      </w:pPr>
      <w:r w:rsidRPr="005B66E3">
        <w:lastRenderedPageBreak/>
        <w:t>Injuries sustained to participants or workers during support provision.</w:t>
      </w:r>
    </w:p>
    <w:p w14:paraId="2B7ECB50" w14:textId="77777777" w:rsidR="007C52BD" w:rsidRPr="005B66E3" w:rsidRDefault="007C52BD" w:rsidP="007C52BD">
      <w:pPr>
        <w:pStyle w:val="Bullet1"/>
      </w:pPr>
      <w:r w:rsidRPr="005B66E3">
        <w:t>Office-based work injuries.</w:t>
      </w:r>
    </w:p>
    <w:p w14:paraId="3A4A7F20" w14:textId="77777777" w:rsidR="007C52BD" w:rsidRPr="005B66E3" w:rsidRDefault="007C52BD" w:rsidP="007C52BD">
      <w:pPr>
        <w:pStyle w:val="Bullet1"/>
      </w:pPr>
      <w:r w:rsidRPr="005B66E3">
        <w:t>Injuries caused by bullying, harassment, or abuse.</w:t>
      </w:r>
    </w:p>
    <w:p w14:paraId="56FBB7E7" w14:textId="77777777" w:rsidR="007C52BD" w:rsidRPr="005B66E3" w:rsidRDefault="007C52BD" w:rsidP="007C52BD">
      <w:pPr>
        <w:pStyle w:val="Bullet1"/>
      </w:pPr>
      <w:r w:rsidRPr="005B66E3">
        <w:t>Injuries relating to the use of hazardous materials such as chemicals and sharps etc.</w:t>
      </w:r>
    </w:p>
    <w:p w14:paraId="11CB0B7D" w14:textId="77777777" w:rsidR="007C52BD" w:rsidRPr="005B66E3" w:rsidRDefault="007C52BD" w:rsidP="007C52BD">
      <w:pPr>
        <w:pStyle w:val="Bullet1"/>
      </w:pPr>
      <w:r w:rsidRPr="005B66E3">
        <w:t>Manual handling injuries.</w:t>
      </w:r>
    </w:p>
    <w:p w14:paraId="35846379" w14:textId="77777777" w:rsidR="007C52BD" w:rsidRPr="005B66E3" w:rsidRDefault="007C52BD" w:rsidP="007C52BD">
      <w:pPr>
        <w:pStyle w:val="Bullet1"/>
      </w:pPr>
      <w:r w:rsidRPr="005B66E3">
        <w:t>Slips, trips, and falls.</w:t>
      </w:r>
    </w:p>
    <w:p w14:paraId="32E8E11D" w14:textId="77777777" w:rsidR="007C52BD" w:rsidRPr="005B66E3" w:rsidRDefault="007C52BD" w:rsidP="007C52BD">
      <w:pPr>
        <w:pStyle w:val="Bullet1"/>
      </w:pPr>
      <w:r w:rsidRPr="005B66E3">
        <w:t>Infectious diseases.</w:t>
      </w:r>
    </w:p>
    <w:p w14:paraId="2B10EC4E" w14:textId="77777777" w:rsidR="007C52BD" w:rsidRPr="005B66E3" w:rsidRDefault="007C52BD" w:rsidP="007C52BD">
      <w:pPr>
        <w:pStyle w:val="Bullet1"/>
      </w:pPr>
      <w:r w:rsidRPr="005B66E3">
        <w:t>Data breaches.</w:t>
      </w:r>
    </w:p>
    <w:p w14:paraId="43462CD9" w14:textId="77777777" w:rsidR="007C52BD" w:rsidRPr="005B66E3" w:rsidRDefault="007C52BD" w:rsidP="007C52BD">
      <w:pPr>
        <w:pStyle w:val="Bullet1"/>
      </w:pPr>
      <w:r w:rsidRPr="005B66E3">
        <w:t>Unexplained injuries.</w:t>
      </w:r>
    </w:p>
    <w:p w14:paraId="763369BB" w14:textId="77777777" w:rsidR="007C52BD" w:rsidRPr="00117F9B" w:rsidRDefault="007C52BD" w:rsidP="007C52BD">
      <w:pPr>
        <w:pStyle w:val="Heading2"/>
      </w:pPr>
      <w:bookmarkStart w:id="6" w:name="_Toc57989817"/>
      <w:r w:rsidRPr="00117F9B">
        <w:t>INVESTIGATION AND ASSESSMENT OF INCIDENTS</w:t>
      </w:r>
      <w:bookmarkEnd w:id="6"/>
    </w:p>
    <w:p w14:paraId="2D6C102A" w14:textId="77777777" w:rsidR="007C52BD" w:rsidRPr="00117F9B" w:rsidRDefault="007C52BD" w:rsidP="007C52BD">
      <w:pPr>
        <w:pStyle w:val="paragraph"/>
      </w:pPr>
      <w:r w:rsidRPr="00117F9B">
        <w:t xml:space="preserve">Following the incident, the Managing Director will complete an assessment </w:t>
      </w:r>
      <w:proofErr w:type="gramStart"/>
      <w:r w:rsidRPr="00117F9B">
        <w:t>with regard to</w:t>
      </w:r>
      <w:proofErr w:type="gramEnd"/>
      <w:r w:rsidRPr="00117F9B">
        <w:t xml:space="preserve"> the following </w:t>
      </w:r>
      <w:r>
        <w:t>considerations</w:t>
      </w:r>
      <w:r w:rsidRPr="00117F9B">
        <w:t xml:space="preserve">: </w:t>
      </w:r>
    </w:p>
    <w:p w14:paraId="25B4DE05" w14:textId="77777777" w:rsidR="007C52BD" w:rsidRPr="00117F9B" w:rsidRDefault="007C52BD" w:rsidP="007C52BD">
      <w:pPr>
        <w:pStyle w:val="Bullet1"/>
      </w:pPr>
      <w:r w:rsidRPr="00117F9B">
        <w:t>whether the incident could have been prevented</w:t>
      </w:r>
    </w:p>
    <w:p w14:paraId="26B63997" w14:textId="77777777" w:rsidR="007C52BD" w:rsidRPr="00117F9B" w:rsidRDefault="007C52BD" w:rsidP="007C52BD">
      <w:pPr>
        <w:pStyle w:val="Bullet1"/>
      </w:pPr>
      <w:r w:rsidRPr="00117F9B">
        <w:t xml:space="preserve">how well the incident was managed and </w:t>
      </w:r>
      <w:proofErr w:type="gramStart"/>
      <w:r w:rsidRPr="00117F9B">
        <w:t>resolved</w:t>
      </w:r>
      <w:proofErr w:type="gramEnd"/>
      <w:r w:rsidRPr="00117F9B">
        <w:t xml:space="preserve"> </w:t>
      </w:r>
    </w:p>
    <w:p w14:paraId="37CC0C2E" w14:textId="77777777" w:rsidR="007C52BD" w:rsidRPr="00117F9B" w:rsidRDefault="007C52BD" w:rsidP="007C52BD">
      <w:pPr>
        <w:pStyle w:val="Bullet1"/>
      </w:pPr>
      <w:r w:rsidRPr="00117F9B">
        <w:t>what, if any, remedial action needs to be undertaken to prevent further similar incidents from occurring, or to minimise their impact, and</w:t>
      </w:r>
    </w:p>
    <w:p w14:paraId="29FC0EA3" w14:textId="77777777" w:rsidR="007C52BD" w:rsidRPr="00117F9B" w:rsidRDefault="007C52BD" w:rsidP="007C52BD">
      <w:pPr>
        <w:pStyle w:val="Bullet1"/>
      </w:pPr>
      <w:r w:rsidRPr="00117F9B">
        <w:t xml:space="preserve">whether other persons or </w:t>
      </w:r>
      <w:r>
        <w:t xml:space="preserve">regulatory </w:t>
      </w:r>
      <w:r w:rsidRPr="00117F9B">
        <w:t>bodies need to be notified of the incident.</w:t>
      </w:r>
    </w:p>
    <w:p w14:paraId="45CA5975" w14:textId="77777777" w:rsidR="007C52BD" w:rsidRPr="00117F9B" w:rsidRDefault="007C52BD" w:rsidP="007C52BD">
      <w:pPr>
        <w:pStyle w:val="paragraph"/>
      </w:pPr>
      <w:r w:rsidRPr="00117F9B">
        <w:t>The Managing Director will also consider the outcome of the assessment to determine what further action should be taken, which could include:</w:t>
      </w:r>
    </w:p>
    <w:p w14:paraId="7ED6B9F6" w14:textId="77777777" w:rsidR="007C52BD" w:rsidRPr="005B66E3" w:rsidRDefault="007C52BD" w:rsidP="007C52BD">
      <w:pPr>
        <w:pStyle w:val="Bullet1"/>
      </w:pPr>
      <w:r w:rsidRPr="005B66E3">
        <w:t xml:space="preserve">providing ongoing support to impacted people with disability and/or ensuring the ongoing wellbeing and safety of impacted people with </w:t>
      </w:r>
      <w:proofErr w:type="gramStart"/>
      <w:r w:rsidRPr="005B66E3">
        <w:t>disability</w:t>
      </w:r>
      <w:proofErr w:type="gramEnd"/>
    </w:p>
    <w:p w14:paraId="0EA9181E" w14:textId="77777777" w:rsidR="007C52BD" w:rsidRPr="005B66E3" w:rsidRDefault="007C52BD" w:rsidP="007C52BD">
      <w:pPr>
        <w:pStyle w:val="Bullet1"/>
      </w:pPr>
      <w:r w:rsidRPr="005B66E3">
        <w:t>identifying and implementing practice improvement measures</w:t>
      </w:r>
    </w:p>
    <w:p w14:paraId="080EF338" w14:textId="77777777" w:rsidR="007C52BD" w:rsidRPr="005B66E3" w:rsidRDefault="007C52BD" w:rsidP="007C52BD">
      <w:pPr>
        <w:pStyle w:val="Bullet1"/>
      </w:pPr>
      <w:r w:rsidRPr="005B66E3">
        <w:t>notifying the NDIS Commissioner and/or other bodies or agencies, if appropriate</w:t>
      </w:r>
    </w:p>
    <w:p w14:paraId="40956749" w14:textId="77777777" w:rsidR="007C52BD" w:rsidRPr="005B66E3" w:rsidRDefault="007C52BD" w:rsidP="007C52BD">
      <w:pPr>
        <w:pStyle w:val="Bullet1"/>
      </w:pPr>
      <w:r w:rsidRPr="005B66E3">
        <w:t>undertaking further investigations</w:t>
      </w:r>
    </w:p>
    <w:p w14:paraId="3EA84159" w14:textId="77777777" w:rsidR="007C52BD" w:rsidRPr="005B66E3" w:rsidRDefault="007C52BD" w:rsidP="007C52BD">
      <w:pPr>
        <w:pStyle w:val="Bullet1"/>
      </w:pPr>
      <w:r w:rsidRPr="005B66E3">
        <w:t>identifying and taking corrective action to prevent a reoccurrence of incidents, or</w:t>
      </w:r>
    </w:p>
    <w:p w14:paraId="57DFC767" w14:textId="77777777" w:rsidR="007C52BD" w:rsidRPr="005B66E3" w:rsidRDefault="007C52BD" w:rsidP="007C52BD">
      <w:pPr>
        <w:pStyle w:val="Bullet1"/>
      </w:pPr>
      <w:r w:rsidRPr="005B66E3">
        <w:t>deciding that no further action is necessary.</w:t>
      </w:r>
    </w:p>
    <w:p w14:paraId="3EF18C9D" w14:textId="77777777" w:rsidR="007C52BD" w:rsidRPr="00117F9B" w:rsidRDefault="007C52BD" w:rsidP="007C52BD">
      <w:pPr>
        <w:pStyle w:val="paragraph"/>
      </w:pPr>
      <w:r w:rsidRPr="00117F9B">
        <w:t xml:space="preserve">The Managing Director will record the outcome of their assessment on the </w:t>
      </w:r>
      <w:r w:rsidRPr="00117F9B">
        <w:rPr>
          <w:b/>
          <w:bCs/>
          <w:i/>
        </w:rPr>
        <w:t>Incident Report</w:t>
      </w:r>
      <w:r w:rsidRPr="00117F9B">
        <w:rPr>
          <w:i/>
        </w:rPr>
        <w:t xml:space="preserve"> </w:t>
      </w:r>
      <w:r w:rsidRPr="00117F9B">
        <w:t>form.</w:t>
      </w:r>
    </w:p>
    <w:p w14:paraId="53AC46D7" w14:textId="77777777" w:rsidR="007C52BD" w:rsidRPr="00117F9B" w:rsidRDefault="007C52BD" w:rsidP="007C52BD">
      <w:pPr>
        <w:pStyle w:val="Heading3"/>
      </w:pPr>
      <w:bookmarkStart w:id="7" w:name="_Toc57989818"/>
      <w:r w:rsidRPr="00117F9B">
        <w:t xml:space="preserve">Process for initiating and conducting </w:t>
      </w:r>
      <w:proofErr w:type="gramStart"/>
      <w:r w:rsidRPr="00117F9B">
        <w:t>investigations</w:t>
      </w:r>
      <w:bookmarkEnd w:id="7"/>
      <w:proofErr w:type="gramEnd"/>
    </w:p>
    <w:p w14:paraId="13267DD9" w14:textId="77777777" w:rsidR="007C52BD" w:rsidRPr="002C0A46" w:rsidRDefault="007C52BD" w:rsidP="007C52BD">
      <w:pPr>
        <w:pStyle w:val="paragraph"/>
      </w:pPr>
      <w:r w:rsidRPr="002C0A46">
        <w:t xml:space="preserve">In some circumstances it may be necessary to conduct a more formal investigation to establish the cause of a particular incident, its effect and any operational issues that may have contributed to the incident occurring. Caution must be taken to ensure that evidence is not contaminated. The nature of the incident should be clarified using who, what and </w:t>
      </w:r>
      <w:r w:rsidRPr="002C0A46">
        <w:lastRenderedPageBreak/>
        <w:t>where questions only and the allegation or incident must be documented in the words used by the reporter/witness.</w:t>
      </w:r>
    </w:p>
    <w:p w14:paraId="46B6BC35" w14:textId="77777777" w:rsidR="007C52BD" w:rsidRPr="00117F9B" w:rsidRDefault="007C52BD" w:rsidP="007C52BD">
      <w:pPr>
        <w:pStyle w:val="paragraph"/>
      </w:pPr>
      <w:r w:rsidRPr="00117F9B">
        <w:t xml:space="preserve">Process for conducting internal and external investigations: </w:t>
      </w:r>
    </w:p>
    <w:p w14:paraId="6B5F16F1" w14:textId="77777777" w:rsidR="007C52BD" w:rsidRPr="00117F9B" w:rsidRDefault="007C52BD" w:rsidP="007C52BD">
      <w:pPr>
        <w:pStyle w:val="Bullet1"/>
      </w:pPr>
      <w:r w:rsidRPr="00117F9B">
        <w:t>Category 2 and most Category 3 incidents: internal investigation by the Managing Director or delegated employee</w:t>
      </w:r>
      <w:r>
        <w:t xml:space="preserve">. </w:t>
      </w:r>
      <w:r w:rsidRPr="00117F9B">
        <w:t xml:space="preserve">The approach, process undertaken, findings and recommendations of the internal investigation will be documented in a way that is proportionate to the severity of the incident. </w:t>
      </w:r>
    </w:p>
    <w:p w14:paraId="3A0005A6" w14:textId="77777777" w:rsidR="007C52BD" w:rsidRDefault="007C52BD" w:rsidP="007C52BD">
      <w:pPr>
        <w:pStyle w:val="Bullet1"/>
      </w:pPr>
      <w:r w:rsidRPr="00117F9B">
        <w:t xml:space="preserve">Category 1 and all reportable incidents involving assault, sexual assault and/or hospitalisation of a </w:t>
      </w:r>
      <w:r>
        <w:t>participant</w:t>
      </w:r>
      <w:r w:rsidRPr="00117F9B">
        <w:t>: an external investigation is required conducted by an appropriately qualified investigator.</w:t>
      </w:r>
      <w:r>
        <w:t xml:space="preserve"> </w:t>
      </w:r>
    </w:p>
    <w:p w14:paraId="2DE592F0" w14:textId="77777777" w:rsidR="007C52BD" w:rsidRPr="00117F9B" w:rsidRDefault="007C52BD" w:rsidP="007C52BD">
      <w:pPr>
        <w:pStyle w:val="Bullet1"/>
      </w:pPr>
      <w:r>
        <w:t>I</w:t>
      </w:r>
      <w:r w:rsidRPr="00117F9B">
        <w:t xml:space="preserve">f police are involved, an internal investigation should not commence until the police have completed their inquiries.  </w:t>
      </w:r>
    </w:p>
    <w:p w14:paraId="5B42CEA9" w14:textId="77777777" w:rsidR="007C52BD" w:rsidRDefault="007C52BD" w:rsidP="007C52BD">
      <w:pPr>
        <w:pStyle w:val="paragraph"/>
      </w:pPr>
      <w:r w:rsidRPr="00117F9B">
        <w:t>Refer to the NDIS Commission’s</w:t>
      </w:r>
      <w:r w:rsidRPr="00117F9B">
        <w:rPr>
          <w:b/>
          <w:bCs/>
          <w:i/>
          <w:iCs/>
        </w:rPr>
        <w:t xml:space="preserve"> </w:t>
      </w:r>
      <w:hyperlink r:id="rId12" w:history="1">
        <w:r w:rsidRPr="00117F9B">
          <w:rPr>
            <w:rStyle w:val="Hyperlink"/>
            <w:b/>
            <w:bCs/>
          </w:rPr>
          <w:t>NDIS Procedural Fairness Guidelines</w:t>
        </w:r>
      </w:hyperlink>
      <w:r w:rsidRPr="00117F9B">
        <w:rPr>
          <w:color w:val="B4C6E7" w:themeColor="accent1" w:themeTint="66"/>
        </w:rPr>
        <w:t xml:space="preserve"> </w:t>
      </w:r>
      <w:r w:rsidRPr="00117F9B">
        <w:t>while conducting any investigation into an incident.</w:t>
      </w:r>
    </w:p>
    <w:p w14:paraId="2CFF228E" w14:textId="77777777" w:rsidR="007C52BD" w:rsidRDefault="007C52BD" w:rsidP="007C52BD">
      <w:pPr>
        <w:pStyle w:val="paragraph"/>
      </w:pPr>
      <w:r>
        <w:t>Note: any incident or allegation involving the Managing Director must be referred to an appropriately qualified and experienced investigator to avoid any potential conflict of interest.</w:t>
      </w:r>
    </w:p>
    <w:p w14:paraId="52DD7069" w14:textId="77777777" w:rsidR="007C52BD" w:rsidRPr="00117F9B" w:rsidRDefault="007C52BD" w:rsidP="007C52BD">
      <w:pPr>
        <w:pStyle w:val="Heading2"/>
      </w:pPr>
      <w:bookmarkStart w:id="8" w:name="_Toc57989819"/>
      <w:r w:rsidRPr="00117F9B">
        <w:t xml:space="preserve">SUPPORT TO </w:t>
      </w:r>
      <w:r>
        <w:t>PARTICIPANT</w:t>
      </w:r>
      <w:r w:rsidRPr="00117F9B">
        <w:t>S</w:t>
      </w:r>
      <w:bookmarkEnd w:id="8"/>
    </w:p>
    <w:p w14:paraId="142E4949" w14:textId="77777777" w:rsidR="007C52BD" w:rsidRPr="00117F9B" w:rsidRDefault="007C52BD" w:rsidP="007C52BD">
      <w:pPr>
        <w:pStyle w:val="Bullet1"/>
      </w:pPr>
      <w:r w:rsidRPr="00117F9B">
        <w:t xml:space="preserve">If a </w:t>
      </w:r>
      <w:r>
        <w:t>participant</w:t>
      </w:r>
      <w:r w:rsidRPr="00117F9B">
        <w:t xml:space="preserve"> is injured while receiving services from us, employees must ensure that they receive medical attention appropriate to the severity of the injury. </w:t>
      </w:r>
    </w:p>
    <w:p w14:paraId="4EBE2087" w14:textId="77777777" w:rsidR="007C52BD" w:rsidRPr="00117F9B" w:rsidRDefault="007C52BD" w:rsidP="007C52BD">
      <w:pPr>
        <w:pStyle w:val="Bullet1"/>
      </w:pPr>
      <w:r w:rsidRPr="00117F9B">
        <w:t xml:space="preserve">In the event of a serious incident e.g., assault, staff should offer counselling to affected </w:t>
      </w:r>
      <w:r>
        <w:t>participant</w:t>
      </w:r>
      <w:r w:rsidRPr="00117F9B">
        <w:t>s.</w:t>
      </w:r>
    </w:p>
    <w:p w14:paraId="6EF2BEEB" w14:textId="77777777" w:rsidR="007C52BD" w:rsidRDefault="007C52BD" w:rsidP="007C52BD">
      <w:pPr>
        <w:pStyle w:val="Bullet1"/>
      </w:pPr>
      <w:r w:rsidRPr="00117F9B">
        <w:t xml:space="preserve">The Managing Director will invite </w:t>
      </w:r>
      <w:r>
        <w:t>participants</w:t>
      </w:r>
      <w:r w:rsidRPr="00117F9B">
        <w:t xml:space="preserve"> to be involved in the management of the resolution of the incident and this will be recorded in the Managing Director’s report: post-incident review section on the </w:t>
      </w:r>
      <w:r w:rsidRPr="00117F9B">
        <w:rPr>
          <w:i/>
        </w:rPr>
        <w:t>Incident Report</w:t>
      </w:r>
      <w:r w:rsidRPr="00117F9B">
        <w:t xml:space="preserve"> template.  </w:t>
      </w:r>
    </w:p>
    <w:p w14:paraId="71934271" w14:textId="77777777" w:rsidR="007C52BD" w:rsidRPr="00117F9B" w:rsidRDefault="007C52BD" w:rsidP="007C52BD">
      <w:pPr>
        <w:pStyle w:val="Bullet1"/>
      </w:pPr>
      <w:r>
        <w:t>If an incident or allegation is related to a child or young person, their parents will be advised of the incident or allegation, and investigation outcome.</w:t>
      </w:r>
    </w:p>
    <w:p w14:paraId="3968D9AB" w14:textId="77777777" w:rsidR="007C52BD" w:rsidRPr="00117F9B" w:rsidRDefault="007C52BD" w:rsidP="007C52BD">
      <w:pPr>
        <w:pStyle w:val="Bullet1"/>
      </w:pPr>
      <w:bookmarkStart w:id="9" w:name="_Toc57989820"/>
      <w:r w:rsidRPr="00117F9B">
        <w:t>NOTIFYING THE NDIS QUALITY AND SAFEGUARD</w:t>
      </w:r>
      <w:r>
        <w:t>S</w:t>
      </w:r>
      <w:r w:rsidRPr="00117F9B">
        <w:t xml:space="preserve"> COMMISSION</w:t>
      </w:r>
      <w:bookmarkEnd w:id="9"/>
    </w:p>
    <w:p w14:paraId="06734F43" w14:textId="77777777" w:rsidR="007C52BD" w:rsidRPr="00117F9B" w:rsidRDefault="007C52BD" w:rsidP="007C52BD">
      <w:pPr>
        <w:pStyle w:val="Bullet1"/>
      </w:pPr>
      <w:r w:rsidRPr="00117F9B">
        <w:t>Registered providers must report to the NDIS Commission serious incidents, including allegations, arising in the context of NDIS supports or services, including:</w:t>
      </w:r>
    </w:p>
    <w:p w14:paraId="10B48486" w14:textId="77777777" w:rsidR="007C52BD" w:rsidRPr="00117F9B" w:rsidRDefault="007C52BD" w:rsidP="007C52BD">
      <w:pPr>
        <w:pStyle w:val="Bullet1"/>
      </w:pPr>
      <w:r>
        <w:t>T</w:t>
      </w:r>
      <w:r w:rsidRPr="00117F9B">
        <w:t xml:space="preserve">he death of </w:t>
      </w:r>
      <w:proofErr w:type="gramStart"/>
      <w:r w:rsidRPr="00117F9B">
        <w:t>an</w:t>
      </w:r>
      <w:proofErr w:type="gramEnd"/>
      <w:r w:rsidRPr="00117F9B">
        <w:t xml:space="preserve"> NDIS participant</w:t>
      </w:r>
      <w:r>
        <w:t>.</w:t>
      </w:r>
    </w:p>
    <w:p w14:paraId="784CD195" w14:textId="77777777" w:rsidR="007C52BD" w:rsidRPr="00117F9B" w:rsidRDefault="007C52BD" w:rsidP="007C52BD">
      <w:pPr>
        <w:pStyle w:val="Bullet1"/>
      </w:pPr>
      <w:r>
        <w:t>S</w:t>
      </w:r>
      <w:r w:rsidRPr="00117F9B">
        <w:t xml:space="preserve">erious injury of </w:t>
      </w:r>
      <w:proofErr w:type="gramStart"/>
      <w:r w:rsidRPr="00117F9B">
        <w:t>an</w:t>
      </w:r>
      <w:proofErr w:type="gramEnd"/>
      <w:r w:rsidRPr="00117F9B">
        <w:t xml:space="preserve"> NDIS participant</w:t>
      </w:r>
      <w:r>
        <w:t>.</w:t>
      </w:r>
    </w:p>
    <w:p w14:paraId="36113738" w14:textId="77777777" w:rsidR="007C52BD" w:rsidRPr="00117F9B" w:rsidRDefault="007C52BD" w:rsidP="007C52BD">
      <w:pPr>
        <w:pStyle w:val="Bullet1"/>
      </w:pPr>
      <w:r>
        <w:t>A</w:t>
      </w:r>
      <w:r w:rsidRPr="00117F9B">
        <w:t xml:space="preserve">buse or neglect of </w:t>
      </w:r>
      <w:proofErr w:type="gramStart"/>
      <w:r w:rsidRPr="00117F9B">
        <w:t>an</w:t>
      </w:r>
      <w:proofErr w:type="gramEnd"/>
      <w:r w:rsidRPr="00117F9B">
        <w:t xml:space="preserve"> NDIS participant</w:t>
      </w:r>
      <w:r>
        <w:t>.</w:t>
      </w:r>
    </w:p>
    <w:p w14:paraId="4D801D02" w14:textId="77777777" w:rsidR="007C52BD" w:rsidRPr="00117F9B" w:rsidRDefault="007C52BD" w:rsidP="007C52BD">
      <w:pPr>
        <w:pStyle w:val="Bullet1"/>
      </w:pPr>
      <w:r>
        <w:lastRenderedPageBreak/>
        <w:t>U</w:t>
      </w:r>
      <w:r w:rsidRPr="00117F9B">
        <w:t xml:space="preserve">nlawful sexual or physical contact with, or assault of, </w:t>
      </w:r>
      <w:proofErr w:type="gramStart"/>
      <w:r w:rsidRPr="00117F9B">
        <w:t>an</w:t>
      </w:r>
      <w:proofErr w:type="gramEnd"/>
      <w:r w:rsidRPr="00117F9B">
        <w:t xml:space="preserve"> NDIS participant</w:t>
      </w:r>
      <w:r>
        <w:t>.</w:t>
      </w:r>
    </w:p>
    <w:p w14:paraId="46E5C25F" w14:textId="77777777" w:rsidR="007C52BD" w:rsidRPr="00117F9B" w:rsidRDefault="007C52BD" w:rsidP="007C52BD">
      <w:pPr>
        <w:pStyle w:val="Bullet1"/>
      </w:pPr>
      <w:r>
        <w:t>S</w:t>
      </w:r>
      <w:r w:rsidRPr="00117F9B">
        <w:t xml:space="preserve">exual misconduct committed against, or in the presence of, </w:t>
      </w:r>
      <w:proofErr w:type="gramStart"/>
      <w:r w:rsidRPr="00117F9B">
        <w:t>an</w:t>
      </w:r>
      <w:proofErr w:type="gramEnd"/>
      <w:r w:rsidRPr="00117F9B">
        <w:t xml:space="preserve"> NDIS participant, including grooming of the NDIS participant for sexual activity.</w:t>
      </w:r>
    </w:p>
    <w:p w14:paraId="775E9EE2" w14:textId="77777777" w:rsidR="007C52BD" w:rsidRPr="00117F9B" w:rsidRDefault="007C52BD" w:rsidP="007C52BD">
      <w:pPr>
        <w:pStyle w:val="Bullet1"/>
      </w:pPr>
      <w:r>
        <w:t>T</w:t>
      </w:r>
      <w:r w:rsidRPr="00117F9B">
        <w:t xml:space="preserve">he unauthorised use of a restrictive practice in relation to </w:t>
      </w:r>
      <w:proofErr w:type="gramStart"/>
      <w:r w:rsidRPr="00117F9B">
        <w:t>an</w:t>
      </w:r>
      <w:proofErr w:type="gramEnd"/>
      <w:r w:rsidRPr="00117F9B">
        <w:t xml:space="preserve"> NDIS participant.</w:t>
      </w:r>
    </w:p>
    <w:p w14:paraId="04024548" w14:textId="77777777" w:rsidR="007C52BD" w:rsidRPr="00117F9B" w:rsidRDefault="007C52BD" w:rsidP="007C52BD">
      <w:pPr>
        <w:pStyle w:val="Heading3"/>
      </w:pPr>
      <w:r w:rsidRPr="00117F9B">
        <w:t>Timeframes for reporting</w:t>
      </w:r>
    </w:p>
    <w:p w14:paraId="66289453" w14:textId="77777777" w:rsidR="007C52BD" w:rsidRPr="00117F9B" w:rsidRDefault="007C52BD" w:rsidP="007C52BD">
      <w:pPr>
        <w:pStyle w:val="paragraph"/>
      </w:pPr>
      <w:r w:rsidRPr="00117F9B">
        <w:t xml:space="preserve">Most reportable incidents must be notified to the NDIS Commission </w:t>
      </w:r>
      <w:r w:rsidRPr="00117F9B">
        <w:rPr>
          <w:b/>
        </w:rPr>
        <w:t>within 24 hours</w:t>
      </w:r>
      <w:r w:rsidRPr="00117F9B">
        <w:t xml:space="preserve"> of a provider’s key personnel being made aware of it, with a more detailed report about the incident and actions taken in response to it to be provided within 5 business days.</w:t>
      </w:r>
    </w:p>
    <w:p w14:paraId="3DCF24B2" w14:textId="77777777" w:rsidR="007C52BD" w:rsidRPr="00117F9B" w:rsidRDefault="007C52BD" w:rsidP="007C52BD">
      <w:pPr>
        <w:pStyle w:val="paragraph"/>
        <w:rPr>
          <w:b/>
        </w:rPr>
      </w:pPr>
      <w:r w:rsidRPr="00117F9B">
        <w:t xml:space="preserve">The unauthorised use of restrictive practice must be notified to the NDIS Commission within 5 business days of a provider’s key personnel being made aware of it. </w:t>
      </w:r>
      <w:r w:rsidRPr="00117F9B">
        <w:rPr>
          <w:b/>
        </w:rPr>
        <w:t>If there is harm to a participant, it must be reported within 24 hours.</w:t>
      </w:r>
    </w:p>
    <w:p w14:paraId="4EBF93C2" w14:textId="77777777" w:rsidR="007C52BD" w:rsidRPr="00117F9B" w:rsidRDefault="007C52BD" w:rsidP="007C52BD">
      <w:pPr>
        <w:pStyle w:val="paragraph"/>
      </w:pPr>
      <w:r w:rsidRPr="00117F9B">
        <w:t>A </w:t>
      </w:r>
      <w:r w:rsidRPr="00117F9B">
        <w:rPr>
          <w:b/>
          <w:bCs/>
        </w:rPr>
        <w:t>final report </w:t>
      </w:r>
      <w:r w:rsidRPr="00117F9B">
        <w:t>may also be required within </w:t>
      </w:r>
      <w:r w:rsidRPr="00117F9B">
        <w:rPr>
          <w:b/>
          <w:bCs/>
        </w:rPr>
        <w:t>60 business days </w:t>
      </w:r>
      <w:r w:rsidRPr="00117F9B">
        <w:t>of submitting the five-day report. The NDIS Commission will advise providers whether a final report is required.</w:t>
      </w:r>
    </w:p>
    <w:p w14:paraId="2694642D" w14:textId="77777777" w:rsidR="007C52BD" w:rsidRPr="00117F9B" w:rsidRDefault="007C52BD" w:rsidP="007C52BD">
      <w:pPr>
        <w:pStyle w:val="paragraph"/>
      </w:pPr>
      <w:r w:rsidRPr="00117F9B">
        <w:t>In all cases, the following must be assessed:</w:t>
      </w:r>
    </w:p>
    <w:p w14:paraId="25D3DF00" w14:textId="77777777" w:rsidR="007C52BD" w:rsidRPr="00117F9B" w:rsidRDefault="007C52BD" w:rsidP="007C52BD">
      <w:pPr>
        <w:pStyle w:val="Bullet1"/>
      </w:pPr>
      <w:r w:rsidRPr="00117F9B">
        <w:t>the impact on the NDIS participant</w:t>
      </w:r>
    </w:p>
    <w:p w14:paraId="4C1ED5DF" w14:textId="77777777" w:rsidR="007C52BD" w:rsidRPr="00117F9B" w:rsidRDefault="007C52BD" w:rsidP="007C52BD">
      <w:pPr>
        <w:pStyle w:val="Bullet1"/>
      </w:pPr>
      <w:r w:rsidRPr="00117F9B">
        <w:t>whether the incident could have been prevented</w:t>
      </w:r>
    </w:p>
    <w:p w14:paraId="55FFA1CE" w14:textId="77777777" w:rsidR="007C52BD" w:rsidRPr="00117F9B" w:rsidRDefault="007C52BD" w:rsidP="007C52BD">
      <w:pPr>
        <w:pStyle w:val="Bullet1"/>
      </w:pPr>
      <w:r w:rsidRPr="00117F9B">
        <w:t>how the incident was managed</w:t>
      </w:r>
      <w:r>
        <w:t>, and</w:t>
      </w:r>
    </w:p>
    <w:p w14:paraId="4AEF34DA" w14:textId="77777777" w:rsidR="007C52BD" w:rsidRPr="00117F9B" w:rsidRDefault="007C52BD" w:rsidP="007C52BD">
      <w:pPr>
        <w:pStyle w:val="Bullet1"/>
      </w:pPr>
      <w:r w:rsidRPr="00117F9B">
        <w:t>what, if any, changes are required to prevent further similar events occurring.</w:t>
      </w:r>
    </w:p>
    <w:p w14:paraId="55CB60F1" w14:textId="77777777" w:rsidR="007C52BD" w:rsidRPr="00117F9B" w:rsidRDefault="007C52BD" w:rsidP="007C52BD">
      <w:pPr>
        <w:pStyle w:val="Boldheading"/>
      </w:pPr>
      <w:r w:rsidRPr="00117F9B">
        <w:t xml:space="preserve">The Commission must be notified using the following </w:t>
      </w:r>
      <w:r w:rsidRPr="00117F9B">
        <w:rPr>
          <w:u w:val="single"/>
        </w:rPr>
        <w:t>process:</w:t>
      </w:r>
    </w:p>
    <w:p w14:paraId="7652DDE8" w14:textId="77777777" w:rsidR="007C52BD" w:rsidRPr="00117F9B" w:rsidRDefault="007C52BD" w:rsidP="007C52BD">
      <w:pPr>
        <w:pStyle w:val="paragraph"/>
      </w:pPr>
      <w:r w:rsidRPr="00117F9B">
        <w:t>STEP 1. Notify the NDIS Commission</w:t>
      </w:r>
    </w:p>
    <w:p w14:paraId="6417FDBF" w14:textId="77777777" w:rsidR="007C52BD" w:rsidRPr="00117F9B" w:rsidRDefault="007C52BD" w:rsidP="007C52BD">
      <w:pPr>
        <w:pStyle w:val="Bullet1"/>
      </w:pPr>
      <w:r w:rsidRPr="00117F9B">
        <w:t>Submit an Immediate Notification Form via the </w:t>
      </w:r>
      <w:hyperlink r:id="rId13" w:history="1">
        <w:r w:rsidRPr="00117F9B">
          <w:rPr>
            <w:rStyle w:val="Hyperlink"/>
            <w:b/>
            <w:bCs/>
          </w:rPr>
          <w:t>NDIS Commission Portal</w:t>
        </w:r>
      </w:hyperlink>
      <w:r w:rsidRPr="00117F9B">
        <w:rPr>
          <w:rStyle w:val="Hyperlink"/>
          <w:b/>
          <w:bCs/>
        </w:rPr>
        <w:t> </w:t>
      </w:r>
      <w:r w:rsidRPr="00117F9B">
        <w:t xml:space="preserve">within </w:t>
      </w:r>
      <w:r w:rsidRPr="00117F9B">
        <w:rPr>
          <w:b/>
          <w:bCs/>
        </w:rPr>
        <w:t>24 hours</w:t>
      </w:r>
      <w:r w:rsidRPr="00117F9B">
        <w:t> of key personnel becoming aware of a reportable incident or allegation.</w:t>
      </w:r>
    </w:p>
    <w:p w14:paraId="076E7AF5" w14:textId="77777777" w:rsidR="007C52BD" w:rsidRPr="00117F9B" w:rsidRDefault="007C52BD" w:rsidP="007C52BD">
      <w:pPr>
        <w:pStyle w:val="Bullet1"/>
      </w:pPr>
      <w:r w:rsidRPr="00117F9B">
        <w:t xml:space="preserve">The Immediate Notification Form includes </w:t>
      </w:r>
      <w:proofErr w:type="gramStart"/>
      <w:r w:rsidRPr="00117F9B">
        <w:t>a number of</w:t>
      </w:r>
      <w:proofErr w:type="gramEnd"/>
      <w:r w:rsidRPr="00117F9B">
        <w:t xml:space="preserve"> sections and questions, concerning details of the reportable incident, actions taken in response to the incident and the individuals involved in the incident.</w:t>
      </w:r>
    </w:p>
    <w:p w14:paraId="346FB211" w14:textId="77777777" w:rsidR="007C52BD" w:rsidRPr="00117F9B" w:rsidRDefault="007C52BD" w:rsidP="007C52BD">
      <w:pPr>
        <w:pStyle w:val="Bullet1"/>
      </w:pPr>
      <w:r w:rsidRPr="00117F9B">
        <w:t>An exception to this rule is notifying the NDIS Commission of the use of a restrictive practice that is unauthorised or not in accordance with a behaviour support plan. In these instances, the provider must notify the NDIS Commission within five business days of being made aware of the incident. If the incident has resulted in harm to a person with disability, it must be reported within 24 hours.</w:t>
      </w:r>
    </w:p>
    <w:p w14:paraId="3C0EFE55" w14:textId="77777777" w:rsidR="007C52BD" w:rsidRPr="00117F9B" w:rsidRDefault="007C52BD" w:rsidP="007C52BD">
      <w:pPr>
        <w:pStyle w:val="Bullet1"/>
      </w:pPr>
      <w:r w:rsidRPr="00117F9B">
        <w:t xml:space="preserve">To notify the NDIS Commission of an incident the authorised ‘Notifier’ or ‘Approver’ needs to login to the NDIS Commission Portal and select ‘My Reportable Incidents’ </w:t>
      </w:r>
      <w:r w:rsidRPr="00117F9B">
        <w:lastRenderedPageBreak/>
        <w:t>tile at the top of the screen. From here, you will be able to complete an Immediate Notification Form.</w:t>
      </w:r>
    </w:p>
    <w:p w14:paraId="263FD9A6" w14:textId="77777777" w:rsidR="007C52BD" w:rsidRPr="00117F9B" w:rsidRDefault="007C52BD" w:rsidP="007C52BD">
      <w:pPr>
        <w:pStyle w:val="Bullet1"/>
      </w:pPr>
      <w:r w:rsidRPr="00117F9B">
        <w:t>The NDIS Commission suggests the ‘</w:t>
      </w:r>
      <w:r w:rsidRPr="00117F9B">
        <w:rPr>
          <w:b/>
          <w:bCs/>
        </w:rPr>
        <w:t>Authorised Reportable Incidents Approver</w:t>
      </w:r>
      <w:r w:rsidRPr="00117F9B">
        <w:t>’ is the person you want to have the authority to review and be responsible for submission to the NDIS Commission. This could be the person specified in your incident management system who is responsible for reporting incidents to the NDIS Commission. The authorised ‘Approver’ will have the ability to submit new Reportable Incidents and view previous Reportable Incidents submitted by their organisation.</w:t>
      </w:r>
    </w:p>
    <w:p w14:paraId="7A8D75D1" w14:textId="77777777" w:rsidR="007C52BD" w:rsidRPr="00117F9B" w:rsidRDefault="007C52BD" w:rsidP="007C52BD">
      <w:pPr>
        <w:pStyle w:val="Bullet1"/>
      </w:pPr>
      <w:r w:rsidRPr="00117F9B">
        <w:t>The NDIS Commission suggests the ‘</w:t>
      </w:r>
      <w:r w:rsidRPr="00117F9B">
        <w:rPr>
          <w:b/>
          <w:bCs/>
        </w:rPr>
        <w:t>Authorised Reportable Incidents Notifier</w:t>
      </w:r>
      <w:r w:rsidRPr="00117F9B">
        <w:t>’ is a supporting team member who can assist the ‘Authorised Reportable Incidents Approver’ to collate and report the required information. The authorised ‘Notifier’ will have the ability to create new Reportable Incident notifications to be saved as a draft for review and submission by the authorised ‘Approver’. The authorised ‘Notifier’ will need to inform the authorised ‘Approver’ that the Incident is awaiting their review and submission. The ‘Notifier’ can also view past Reportable Incidents they have created through the page.</w:t>
      </w:r>
    </w:p>
    <w:p w14:paraId="1FEDBBD4" w14:textId="77777777" w:rsidR="007C52BD" w:rsidRPr="00117F9B" w:rsidRDefault="007C52BD" w:rsidP="007C52BD">
      <w:pPr>
        <w:pStyle w:val="paragraph"/>
      </w:pPr>
      <w:r w:rsidRPr="00117F9B">
        <w:t>STEP 2: Submit a 5 Day Form</w:t>
      </w:r>
    </w:p>
    <w:p w14:paraId="7E4B72E1" w14:textId="77777777" w:rsidR="007C52BD" w:rsidRPr="005B66E3" w:rsidRDefault="007C52BD" w:rsidP="007C52BD">
      <w:pPr>
        <w:pStyle w:val="Bullet1"/>
      </w:pPr>
      <w:r w:rsidRPr="005B66E3">
        <w:t>The 5 Day form must be submitted via the ‘My Reportable Incidents’ portal within five business days of key personnel becoming aware of a reportable Incident. This provides additional information and actions taken by the NDIS registered provider.</w:t>
      </w:r>
    </w:p>
    <w:p w14:paraId="2F830ACA" w14:textId="77777777" w:rsidR="007C52BD" w:rsidRPr="005B66E3" w:rsidRDefault="007C52BD" w:rsidP="007C52BD">
      <w:pPr>
        <w:pStyle w:val="Bullet1"/>
      </w:pPr>
      <w:r w:rsidRPr="005B66E3">
        <w:t>The five-day form is also to be used for incidents involving the unauthorised use of a restrictive practice, other than those resulting in immediate harm of a person with disability.</w:t>
      </w:r>
    </w:p>
    <w:p w14:paraId="5141B455" w14:textId="77777777" w:rsidR="007C52BD" w:rsidRPr="00117F9B" w:rsidRDefault="007C52BD" w:rsidP="007C52BD">
      <w:pPr>
        <w:pStyle w:val="paragraph"/>
      </w:pPr>
      <w:r w:rsidRPr="00117F9B">
        <w:t>STEP 3. Submit a final report, if required</w:t>
      </w:r>
    </w:p>
    <w:p w14:paraId="60B00F9F" w14:textId="77777777" w:rsidR="007C52BD" w:rsidRPr="00117F9B" w:rsidRDefault="007C52BD" w:rsidP="007C52BD">
      <w:pPr>
        <w:pStyle w:val="Bullet1"/>
      </w:pPr>
      <w:r w:rsidRPr="00117F9B">
        <w:t>A </w:t>
      </w:r>
      <w:r w:rsidRPr="009A537D">
        <w:rPr>
          <w:b/>
          <w:bCs/>
        </w:rPr>
        <w:t xml:space="preserve">final report </w:t>
      </w:r>
      <w:r w:rsidRPr="00117F9B">
        <w:t xml:space="preserve">may be required to be submitted. When this is the case, the NDIS Commission will notify via email and </w:t>
      </w:r>
      <w:r>
        <w:t>advise</w:t>
      </w:r>
      <w:r w:rsidRPr="00117F9B">
        <w:t xml:space="preserve"> the date this is due.</w:t>
      </w:r>
      <w:r>
        <w:t xml:space="preserve"> </w:t>
      </w:r>
      <w:r w:rsidRPr="00117F9B">
        <w:t xml:space="preserve">If </w:t>
      </w:r>
      <w:proofErr w:type="spellStart"/>
      <w:r>
        <w:t>Transpiral</w:t>
      </w:r>
      <w:proofErr w:type="spellEnd"/>
      <w:r>
        <w:t xml:space="preserve"> Wellbeing is</w:t>
      </w:r>
      <w:r w:rsidRPr="00117F9B">
        <w:t xml:space="preserve"> required to submit a final report, we will have access to the final report fields on the NDIS Commission Portal for that incident.</w:t>
      </w:r>
    </w:p>
    <w:p w14:paraId="5D54326F" w14:textId="77777777" w:rsidR="007C52BD" w:rsidRPr="00117F9B" w:rsidRDefault="007C52BD" w:rsidP="007C52BD">
      <w:pPr>
        <w:pStyle w:val="paragraph"/>
      </w:pPr>
      <w:r w:rsidRPr="00C1718C">
        <w:t xml:space="preserve">Where appropriate, the NDIS Commission may require a provider to take remedial measures. The NDIS Commission may work with the provider to implement these measures and monitor progress. Remedial measures may include, but are not limited to, additional staff training and development or improved services to support NDIS participants and </w:t>
      </w:r>
      <w:r w:rsidRPr="00C1718C">
        <w:lastRenderedPageBreak/>
        <w:t>updating policies and procedures.</w:t>
      </w:r>
      <w:r>
        <w:t xml:space="preserve"> </w:t>
      </w:r>
      <w:r w:rsidRPr="00C1718C">
        <w:t>For further information including hints and tips, please refer to this link: </w:t>
      </w:r>
      <w:hyperlink r:id="rId14" w:history="1">
        <w:r w:rsidRPr="00C1718C">
          <w:rPr>
            <w:rStyle w:val="FollowedHyperlink"/>
          </w:rPr>
          <w:t>Reportable Incidents Frequently Asked Questions</w:t>
        </w:r>
      </w:hyperlink>
      <w:r w:rsidRPr="00C1718C">
        <w:rPr>
          <w:rStyle w:val="FollowedHyperlink"/>
        </w:rPr>
        <w:t>.</w:t>
      </w:r>
    </w:p>
    <w:p w14:paraId="021FA6D7" w14:textId="77777777" w:rsidR="007C52BD" w:rsidRPr="00117F9B" w:rsidRDefault="007C52BD" w:rsidP="007C52BD">
      <w:pPr>
        <w:pStyle w:val="Heading3"/>
      </w:pPr>
      <w:r w:rsidRPr="00117F9B">
        <w:t xml:space="preserve">Minimum record keeping </w:t>
      </w:r>
      <w:proofErr w:type="gramStart"/>
      <w:r w:rsidRPr="00117F9B">
        <w:t>requirements</w:t>
      </w:r>
      <w:proofErr w:type="gramEnd"/>
    </w:p>
    <w:p w14:paraId="135049C5" w14:textId="77777777" w:rsidR="007C52BD" w:rsidRPr="00117F9B" w:rsidRDefault="007C52BD" w:rsidP="007C52BD">
      <w:pPr>
        <w:pStyle w:val="paragraph"/>
      </w:pPr>
      <w:r w:rsidRPr="00117F9B">
        <w:t>Under the NDIS Incident Management requirements, for each incident, registered NDIS providers must record, at a minimum, the following details:</w:t>
      </w:r>
    </w:p>
    <w:p w14:paraId="0A2ABEDF" w14:textId="77777777" w:rsidR="007C52BD" w:rsidRPr="005B66E3" w:rsidRDefault="007C52BD" w:rsidP="007C52BD">
      <w:pPr>
        <w:pStyle w:val="Bullet1"/>
      </w:pPr>
      <w:r w:rsidRPr="005B66E3">
        <w:t>A description of the incident, including the impact on, or harm caused to, any person with disability.</w:t>
      </w:r>
    </w:p>
    <w:p w14:paraId="24E93340" w14:textId="77777777" w:rsidR="007C52BD" w:rsidRPr="005B66E3" w:rsidRDefault="007C52BD" w:rsidP="007C52BD">
      <w:pPr>
        <w:pStyle w:val="Bullet1"/>
      </w:pPr>
      <w:r w:rsidRPr="005B66E3">
        <w:t>Whether the incident is a reportable incident.</w:t>
      </w:r>
    </w:p>
    <w:p w14:paraId="215FE79B" w14:textId="77777777" w:rsidR="007C52BD" w:rsidRPr="005B66E3" w:rsidRDefault="007C52BD" w:rsidP="007C52BD">
      <w:pPr>
        <w:pStyle w:val="Bullet1"/>
      </w:pPr>
      <w:r w:rsidRPr="005B66E3">
        <w:t xml:space="preserve">If known, the time, date, and place at which the incident occurred or if not known, the time, </w:t>
      </w:r>
      <w:proofErr w:type="gramStart"/>
      <w:r w:rsidRPr="005B66E3">
        <w:t>date</w:t>
      </w:r>
      <w:proofErr w:type="gramEnd"/>
      <w:r w:rsidRPr="005B66E3">
        <w:t xml:space="preserve"> and place at which the incident was first identified.</w:t>
      </w:r>
    </w:p>
    <w:p w14:paraId="7744F87A" w14:textId="77777777" w:rsidR="007C52BD" w:rsidRPr="005B66E3" w:rsidRDefault="007C52BD" w:rsidP="007C52BD">
      <w:pPr>
        <w:pStyle w:val="Bullet1"/>
      </w:pPr>
      <w:r w:rsidRPr="005B66E3">
        <w:t>The names and contact details of the persons involved in the incident and any witnesses to it.</w:t>
      </w:r>
    </w:p>
    <w:p w14:paraId="2BFD51FD" w14:textId="77777777" w:rsidR="007C52BD" w:rsidRPr="005B66E3" w:rsidRDefault="007C52BD" w:rsidP="007C52BD">
      <w:pPr>
        <w:pStyle w:val="Bullet1"/>
      </w:pPr>
      <w:r w:rsidRPr="005B66E3">
        <w:t>The actions taken in response to the incident, including action taken to support or assist a person with disability impacted by an incident.</w:t>
      </w:r>
    </w:p>
    <w:p w14:paraId="303F1F84" w14:textId="77777777" w:rsidR="007C52BD" w:rsidRPr="005B66E3" w:rsidRDefault="007C52BD" w:rsidP="007C52BD">
      <w:pPr>
        <w:pStyle w:val="Bullet1"/>
      </w:pPr>
      <w:r w:rsidRPr="005B66E3">
        <w:t>If an investigation is undertaken by the provider in relation to the incident —the details and outcomes of the investigation.</w:t>
      </w:r>
    </w:p>
    <w:p w14:paraId="00A8E52C" w14:textId="77777777" w:rsidR="007C52BD" w:rsidRPr="005B66E3" w:rsidRDefault="007C52BD" w:rsidP="007C52BD">
      <w:pPr>
        <w:pStyle w:val="Bullet1"/>
      </w:pPr>
      <w:r w:rsidRPr="005B66E3">
        <w:t>The name, position and contact details of the person making the record of the incident.</w:t>
      </w:r>
    </w:p>
    <w:p w14:paraId="6A6C70C5" w14:textId="77777777" w:rsidR="007C52BD" w:rsidRDefault="007C52BD" w:rsidP="007C52BD">
      <w:pPr>
        <w:pStyle w:val="paragraph"/>
      </w:pPr>
      <w:r w:rsidRPr="00117F9B">
        <w:t>All records must be kept for seven years from the day that the record is made.</w:t>
      </w:r>
      <w:bookmarkStart w:id="10" w:name="_Toc57989821"/>
    </w:p>
    <w:p w14:paraId="5D2F20B7" w14:textId="77777777" w:rsidR="007C52BD" w:rsidRDefault="007C52BD" w:rsidP="007C52BD">
      <w:pPr>
        <w:pStyle w:val="Heading3"/>
      </w:pPr>
      <w:r>
        <w:t xml:space="preserve">Incidents involving other </w:t>
      </w:r>
      <w:proofErr w:type="gramStart"/>
      <w:r>
        <w:t>participants</w:t>
      </w:r>
      <w:proofErr w:type="gramEnd"/>
    </w:p>
    <w:p w14:paraId="7406E80A" w14:textId="77777777" w:rsidR="007C52BD" w:rsidRDefault="007C52BD" w:rsidP="007C52BD">
      <w:pPr>
        <w:pStyle w:val="paragraph"/>
      </w:pPr>
      <w:r>
        <w:t>Incidents involving other participants e.g., where a participant has been impacted by the actions of another participant will be managed by:</w:t>
      </w:r>
    </w:p>
    <w:p w14:paraId="4800C67C" w14:textId="77777777" w:rsidR="007C52BD" w:rsidRPr="005B66E3" w:rsidRDefault="007C52BD" w:rsidP="007C52BD">
      <w:pPr>
        <w:pStyle w:val="Bullet1"/>
      </w:pPr>
      <w:r w:rsidRPr="005B66E3">
        <w:t>Asking the person impacted by the other participant their service delivery preferences. For example, the participant may ask that they do not receive services at the same time as the person who caused the incident.</w:t>
      </w:r>
    </w:p>
    <w:p w14:paraId="60CB70D1" w14:textId="77777777" w:rsidR="007C52BD" w:rsidRPr="005B66E3" w:rsidRDefault="007C52BD" w:rsidP="007C52BD">
      <w:pPr>
        <w:pStyle w:val="Bullet1"/>
      </w:pPr>
      <w:r w:rsidRPr="005B66E3">
        <w:t>Documenting the outcome of any discussion with the participant impacted and amending their support plan as necessary.</w:t>
      </w:r>
    </w:p>
    <w:p w14:paraId="77B3DFBC" w14:textId="77777777" w:rsidR="007C52BD" w:rsidRPr="00117F9B" w:rsidRDefault="007C52BD" w:rsidP="007C52BD">
      <w:pPr>
        <w:pStyle w:val="paragraph"/>
      </w:pPr>
      <w:r w:rsidRPr="00034611">
        <w:t>Note: where a participant has caused harm to another participant (and has been confirmed following an investigation), and where this cannot be mitigated through behaviour support strategies, consideration will also be given to changing the service delivery model to ensure the two participants do not come into contact with each other, or ceasing the service agreement with the participant who was responsible for the incident as a last resort where participants cannot be separated.</w:t>
      </w:r>
      <w:r>
        <w:t xml:space="preserve"> </w:t>
      </w:r>
    </w:p>
    <w:bookmarkEnd w:id="10"/>
    <w:p w14:paraId="4A9B1905" w14:textId="77777777" w:rsidR="007C52BD" w:rsidRPr="000F71F7" w:rsidRDefault="007C52BD" w:rsidP="007C52BD">
      <w:pPr>
        <w:pStyle w:val="Heading2"/>
      </w:pPr>
      <w:r w:rsidRPr="000F71F7">
        <w:lastRenderedPageBreak/>
        <w:t xml:space="preserve">SAFEWORK - NOTIFIABLE INCIDENT REPORTING     </w:t>
      </w:r>
    </w:p>
    <w:p w14:paraId="3B1BBA0C" w14:textId="77777777" w:rsidR="007C52BD" w:rsidRPr="000F71F7" w:rsidRDefault="007C52BD" w:rsidP="007C52BD">
      <w:pPr>
        <w:pStyle w:val="paragraph"/>
      </w:pPr>
      <w:r w:rsidRPr="000F71F7">
        <w:t>In South Australia</w:t>
      </w:r>
      <w:r w:rsidRPr="000F71F7">
        <w:rPr>
          <w:rFonts w:ascii="Lato" w:eastAsia="Times New Roman" w:hAnsi="Lato" w:cs="Times New Roman"/>
          <w:color w:val="343434"/>
          <w:lang w:eastAsia="en-GB"/>
        </w:rPr>
        <w:t xml:space="preserve"> </w:t>
      </w:r>
      <w:r w:rsidRPr="000F71F7">
        <w:t>You must report:</w:t>
      </w:r>
    </w:p>
    <w:p w14:paraId="31BD210C" w14:textId="77777777" w:rsidR="007C52BD" w:rsidRPr="005E3747" w:rsidRDefault="007C52BD" w:rsidP="007C52BD">
      <w:pPr>
        <w:pStyle w:val="Bulletedlist"/>
        <w:numPr>
          <w:ilvl w:val="0"/>
          <w:numId w:val="8"/>
        </w:numPr>
      </w:pPr>
      <w:r w:rsidRPr="005E3747">
        <w:t>fatalities</w:t>
      </w:r>
    </w:p>
    <w:p w14:paraId="3FA99629" w14:textId="77777777" w:rsidR="007C52BD" w:rsidRPr="005E3747" w:rsidRDefault="007C52BD" w:rsidP="007C52BD">
      <w:pPr>
        <w:pStyle w:val="Bulletedlist"/>
        <w:numPr>
          <w:ilvl w:val="0"/>
          <w:numId w:val="8"/>
        </w:numPr>
      </w:pPr>
      <w:r w:rsidRPr="005E3747">
        <w:t>serious injuries and illnesses</w:t>
      </w:r>
    </w:p>
    <w:p w14:paraId="67F283B3" w14:textId="77777777" w:rsidR="007C52BD" w:rsidRPr="005E3747" w:rsidRDefault="007C52BD" w:rsidP="007C52BD">
      <w:pPr>
        <w:pStyle w:val="Bulletedlist"/>
        <w:numPr>
          <w:ilvl w:val="0"/>
          <w:numId w:val="8"/>
        </w:numPr>
      </w:pPr>
      <w:r w:rsidRPr="005E3747">
        <w:t>dangerous incidents</w:t>
      </w:r>
    </w:p>
    <w:p w14:paraId="5DB35DF1" w14:textId="77777777" w:rsidR="007C52BD" w:rsidRPr="005E3747" w:rsidRDefault="007C52BD" w:rsidP="007C52BD">
      <w:pPr>
        <w:pStyle w:val="Bulletedlist"/>
        <w:numPr>
          <w:ilvl w:val="0"/>
          <w:numId w:val="8"/>
        </w:numPr>
      </w:pPr>
      <w:r w:rsidRPr="005E3747">
        <w:t xml:space="preserve">cases of COVID-19, if it can be reliably attributed to a workplace </w:t>
      </w:r>
      <w:proofErr w:type="gramStart"/>
      <w:r w:rsidRPr="005E3747">
        <w:t>exposure;</w:t>
      </w:r>
      <w:proofErr w:type="gramEnd"/>
      <w:r w:rsidRPr="005E3747">
        <w:t xml:space="preserve"> and results either in</w:t>
      </w:r>
    </w:p>
    <w:p w14:paraId="4527C051" w14:textId="77777777" w:rsidR="007C52BD" w:rsidRPr="005E3747" w:rsidRDefault="007C52BD" w:rsidP="007C52BD">
      <w:pPr>
        <w:pStyle w:val="Bullet2"/>
      </w:pPr>
      <w:r w:rsidRPr="005E3747">
        <w:t>the person receiving treatment as an in-patient in hospital; or</w:t>
      </w:r>
    </w:p>
    <w:p w14:paraId="2109AE22" w14:textId="77777777" w:rsidR="007C52BD" w:rsidRDefault="007C52BD" w:rsidP="007C52BD">
      <w:pPr>
        <w:pStyle w:val="Bullet2"/>
      </w:pPr>
      <w:r w:rsidRPr="005E3747">
        <w:t>death.</w:t>
      </w:r>
    </w:p>
    <w:p w14:paraId="0B6A0581" w14:textId="77777777" w:rsidR="007C52BD" w:rsidRPr="005E3747" w:rsidRDefault="007C52BD" w:rsidP="007C52BD">
      <w:pPr>
        <w:pStyle w:val="paragraph"/>
      </w:pPr>
      <w:r>
        <w:t xml:space="preserve">For more information refer: </w:t>
      </w:r>
      <w:hyperlink r:id="rId15" w:history="1">
        <w:r w:rsidRPr="00083751">
          <w:rPr>
            <w:rStyle w:val="Hyperlink"/>
          </w:rPr>
          <w:t>https://www.safework.sa.gov.au/notify/workplace-incident-notifications</w:t>
        </w:r>
      </w:hyperlink>
      <w:r>
        <w:tab/>
      </w:r>
    </w:p>
    <w:p w14:paraId="7D61CD59" w14:textId="77777777" w:rsidR="007C52BD" w:rsidRPr="00117F9B" w:rsidRDefault="007C52BD" w:rsidP="007C52BD">
      <w:pPr>
        <w:pStyle w:val="Heading2"/>
      </w:pPr>
      <w:bookmarkStart w:id="11" w:name="_Toc57989823"/>
      <w:r w:rsidRPr="00117F9B">
        <w:t>AVAILABILITY OF RECORDS</w:t>
      </w:r>
      <w:bookmarkEnd w:id="11"/>
      <w:r w:rsidRPr="00117F9B">
        <w:tab/>
      </w:r>
    </w:p>
    <w:p w14:paraId="2C0FC4F9" w14:textId="77777777" w:rsidR="007C52BD" w:rsidRPr="00117F9B" w:rsidRDefault="007C52BD" w:rsidP="007C52BD">
      <w:pPr>
        <w:pStyle w:val="paragraph"/>
      </w:pPr>
      <w:proofErr w:type="spellStart"/>
      <w:r w:rsidRPr="000F71F7">
        <w:t>Transpiral</w:t>
      </w:r>
      <w:proofErr w:type="spellEnd"/>
      <w:r w:rsidRPr="000F71F7">
        <w:t xml:space="preserve"> Wellbeing commits to making our records available to auditors as part of our quality assurance process will and contribute to NDIS Commission and/or SafeWork South Australia investigations relating to incidents.</w:t>
      </w:r>
    </w:p>
    <w:p w14:paraId="74043ED3" w14:textId="77777777" w:rsidR="007C52BD" w:rsidRPr="00117F9B" w:rsidRDefault="007C52BD" w:rsidP="007C52BD">
      <w:pPr>
        <w:pStyle w:val="Heading2"/>
      </w:pPr>
      <w:r w:rsidRPr="00117F9B">
        <w:t>RELATED DOCUMENTS</w:t>
      </w:r>
    </w:p>
    <w:p w14:paraId="61EB1199" w14:textId="77777777" w:rsidR="007C52BD" w:rsidRDefault="007C52BD" w:rsidP="007C52BD">
      <w:pPr>
        <w:pStyle w:val="Bullet1"/>
      </w:pPr>
      <w:r w:rsidRPr="00117F9B">
        <w:t>NDIS Incident Management and Reportable Incidents Rules (2018).</w:t>
      </w:r>
    </w:p>
    <w:p w14:paraId="120EF89F" w14:textId="77777777" w:rsidR="007C52BD" w:rsidRDefault="007C52BD" w:rsidP="007C52BD">
      <w:pPr>
        <w:pStyle w:val="Bullet1"/>
      </w:pPr>
      <w:r>
        <w:t>Incident Report form.</w:t>
      </w:r>
    </w:p>
    <w:p w14:paraId="55EDE812" w14:textId="6F93EFDD" w:rsidR="001F0BAC" w:rsidRPr="007C52BD" w:rsidRDefault="001F0BAC" w:rsidP="007C52BD"/>
    <w:sectPr w:rsidR="001F0BAC" w:rsidRPr="007C52BD" w:rsidSect="00C16657">
      <w:headerReference w:type="default" r:id="rId16"/>
      <w:footerReference w:type="even" r:id="rId17"/>
      <w:footerReference w:type="default" r:id="rId18"/>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ACA4" w14:textId="77777777" w:rsidR="00514462" w:rsidRDefault="00514462" w:rsidP="00242348">
      <w:r>
        <w:separator/>
      </w:r>
    </w:p>
  </w:endnote>
  <w:endnote w:type="continuationSeparator" w:id="0">
    <w:p w14:paraId="13CA777A" w14:textId="77777777" w:rsidR="00514462" w:rsidRDefault="00514462"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483"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276"/>
      <w:gridCol w:w="1691"/>
    </w:tblGrid>
    <w:tr w:rsidR="00DC4B5A" w:rsidRPr="0028419A" w14:paraId="5AC2743A" w14:textId="77777777" w:rsidTr="004E5F6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276"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4E5F6A">
      <w:trPr>
        <w:trHeight w:val="263"/>
        <w:jc w:val="center"/>
      </w:trPr>
      <w:tc>
        <w:tcPr>
          <w:tcW w:w="2830" w:type="dxa"/>
        </w:tcPr>
        <w:p w14:paraId="70F1AA7C" w14:textId="44B4BC26" w:rsidR="00DC4B5A" w:rsidRPr="0028419A" w:rsidRDefault="007C52BD" w:rsidP="0028419A">
          <w:pPr>
            <w:pStyle w:val="Footerstyle"/>
          </w:pPr>
          <w:r>
            <w:t>Incident Management</w:t>
          </w:r>
          <w:r w:rsidR="008B3A19">
            <w:t xml:space="preserve"> </w:t>
          </w:r>
          <w:r w:rsidR="00DC4B5A" w:rsidRPr="0028419A">
            <w:t>Polic</w:t>
          </w:r>
          <w:r w:rsidR="00E51E33">
            <w:t>y</w:t>
          </w:r>
        </w:p>
      </w:tc>
      <w:tc>
        <w:tcPr>
          <w:tcW w:w="993" w:type="dxa"/>
        </w:tcPr>
        <w:p w14:paraId="022659F3" w14:textId="01F4715E" w:rsidR="00DC4B5A" w:rsidRPr="0028419A" w:rsidRDefault="00E9688A" w:rsidP="0028419A">
          <w:pPr>
            <w:pStyle w:val="Footerstyle"/>
          </w:pPr>
          <w:r w:rsidRPr="0028419A">
            <w:t>PP</w:t>
          </w:r>
          <w:r w:rsidR="00E51E33">
            <w:t xml:space="preserve"> </w:t>
          </w:r>
          <w:r w:rsidR="007C52BD">
            <w:t>10</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276" w:type="dxa"/>
        </w:tcPr>
        <w:p w14:paraId="23D8B80C" w14:textId="7B382E7A" w:rsidR="00DC4B5A" w:rsidRPr="0028419A" w:rsidRDefault="00E51E33" w:rsidP="0028419A">
          <w:pPr>
            <w:pStyle w:val="Footerstyle"/>
          </w:pPr>
          <w:r>
            <w:t>7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72C9" w14:textId="77777777" w:rsidR="00514462" w:rsidRDefault="00514462" w:rsidP="00242348">
      <w:r>
        <w:separator/>
      </w:r>
    </w:p>
  </w:footnote>
  <w:footnote w:type="continuationSeparator" w:id="0">
    <w:p w14:paraId="5F4934DE" w14:textId="77777777" w:rsidR="00514462" w:rsidRDefault="00514462"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462"/>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425E"/>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568BB"/>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ndis-commission-porta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8N001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safework.sa.gov.au/notify/workplace-incident-notific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4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3.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4.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2419</Words>
  <Characters>13794</Characters>
  <Application>Microsoft Office Word</Application>
  <DocSecurity>0</DocSecurity>
  <Lines>114</Lines>
  <Paragraphs>32</Paragraphs>
  <ScaleCrop>false</ScaleCrop>
  <Manager/>
  <Company/>
  <LinksUpToDate>false</LinksUpToDate>
  <CharactersWithSpaces>16181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3</cp:revision>
  <dcterms:created xsi:type="dcterms:W3CDTF">2023-08-07T02:54:00Z</dcterms:created>
  <dcterms:modified xsi:type="dcterms:W3CDTF">2023-08-07T02:56:00Z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